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8D" w:rsidRDefault="0096528D" w:rsidP="009652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 ANALIZA INDICATORILOR STATISTICI ASUPRA PONDERII SILVICULTURII ÎN ECONOMIA NAȚIONALĂ</w:t>
      </w:r>
    </w:p>
    <w:p w:rsidR="0096528D" w:rsidRDefault="0096528D" w:rsidP="0096528D">
      <w:pPr>
        <w:spacing w:after="0" w:line="240" w:lineRule="auto"/>
        <w:jc w:val="center"/>
        <w:rPr>
          <w:rFonts w:ascii="Arial Narrow" w:hAnsi="Arial Narrow" w:cs="Times New Roman"/>
          <w:sz w:val="24"/>
          <w:szCs w:val="24"/>
          <w:u w:val="single"/>
        </w:rPr>
      </w:pPr>
      <w:r>
        <w:rPr>
          <w:rFonts w:ascii="Arial Narrow" w:hAnsi="Arial Narrow" w:cs="Times New Roman"/>
          <w:sz w:val="24"/>
          <w:szCs w:val="24"/>
          <w:u w:val="single"/>
        </w:rPr>
        <w:t>Alocare financiară 2014-2020 din Fondul European pentru Agricultura si Dezvoltare Rurala (FEADR) pentru Politica Agricolă Comuna (PAC) în România</w:t>
      </w:r>
    </w:p>
    <w:tbl>
      <w:tblPr>
        <w:tblStyle w:val="TableGrid"/>
        <w:tblW w:w="0" w:type="auto"/>
        <w:jc w:val="center"/>
        <w:tblInd w:w="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6192"/>
        <w:gridCol w:w="3096"/>
      </w:tblGrid>
      <w:tr w:rsidR="0096528D" w:rsidTr="0096528D">
        <w:trPr>
          <w:jc w:val="center"/>
        </w:trPr>
        <w:tc>
          <w:tcPr>
            <w:tcW w:w="6192" w:type="dxa"/>
            <w:tcBorders>
              <w:top w:val="single" w:sz="18" w:space="0" w:color="000000" w:themeColor="text1"/>
              <w:left w:val="single" w:sz="18" w:space="0" w:color="000000" w:themeColor="text1"/>
              <w:bottom w:val="single" w:sz="6" w:space="0" w:color="000000" w:themeColor="text1"/>
              <w:right w:val="single" w:sz="6" w:space="0" w:color="000000" w:themeColor="text1"/>
            </w:tcBorders>
            <w:hideMark/>
          </w:tcPr>
          <w:p w:rsidR="0096528D" w:rsidRDefault="0096528D">
            <w:pPr>
              <w:rPr>
                <w:rFonts w:ascii="Arial Narrow" w:eastAsia="Calibri" w:hAnsi="Arial Narrow" w:cs="Times New Roman"/>
              </w:rPr>
            </w:pPr>
            <w:r>
              <w:rPr>
                <w:rFonts w:ascii="Arial Narrow" w:hAnsi="Arial Narrow" w:cs="Times New Roman"/>
                <w:b/>
                <w:sz w:val="24"/>
                <w:szCs w:val="24"/>
              </w:rPr>
              <w:t>Pilonul I*</w:t>
            </w:r>
            <w:r>
              <w:rPr>
                <w:rFonts w:ascii="Arial Narrow" w:hAnsi="Arial Narrow" w:cs="Times New Roman"/>
              </w:rPr>
              <w:t xml:space="preserve"> (Plățile directe și măsuri de piață) </w:t>
            </w:r>
          </w:p>
          <w:p w:rsidR="0096528D" w:rsidRDefault="0096528D">
            <w:pPr>
              <w:rPr>
                <w:rFonts w:ascii="Arial Narrow" w:eastAsia="Calibri" w:hAnsi="Arial Narrow" w:cs="Times New Roman"/>
                <w:i/>
                <w:sz w:val="18"/>
                <w:szCs w:val="18"/>
              </w:rPr>
            </w:pPr>
            <w:r>
              <w:rPr>
                <w:rFonts w:ascii="Arial Narrow" w:hAnsi="Arial Narrow" w:cs="Times New Roman"/>
                <w:i/>
                <w:sz w:val="18"/>
                <w:szCs w:val="18"/>
              </w:rPr>
              <w:t>medie 150 euro/ha/an aplicată pe 10.000.000 ha</w:t>
            </w:r>
          </w:p>
        </w:tc>
        <w:tc>
          <w:tcPr>
            <w:tcW w:w="3096" w:type="dxa"/>
            <w:tcBorders>
              <w:top w:val="single" w:sz="18" w:space="0" w:color="000000" w:themeColor="text1"/>
              <w:left w:val="single" w:sz="6" w:space="0" w:color="000000" w:themeColor="text1"/>
              <w:bottom w:val="single" w:sz="6" w:space="0" w:color="000000" w:themeColor="text1"/>
              <w:right w:val="single" w:sz="18" w:space="0" w:color="000000" w:themeColor="text1"/>
            </w:tcBorders>
            <w:hideMark/>
          </w:tcPr>
          <w:p w:rsidR="0096528D" w:rsidRDefault="0096528D">
            <w:pPr>
              <w:rPr>
                <w:rFonts w:ascii="Arial Narrow" w:eastAsia="Calibri" w:hAnsi="Arial Narrow" w:cs="Times New Roman"/>
                <w:b/>
                <w:sz w:val="24"/>
                <w:szCs w:val="24"/>
              </w:rPr>
            </w:pPr>
            <w:r>
              <w:rPr>
                <w:rFonts w:ascii="Arial Narrow" w:hAnsi="Arial Narrow" w:cs="Times New Roman"/>
                <w:b/>
                <w:sz w:val="24"/>
                <w:szCs w:val="24"/>
              </w:rPr>
              <w:t>10,5 miliarde euro</w:t>
            </w:r>
          </w:p>
        </w:tc>
      </w:tr>
      <w:tr w:rsidR="0096528D" w:rsidTr="0096528D">
        <w:trPr>
          <w:trHeight w:val="355"/>
          <w:jc w:val="center"/>
        </w:trPr>
        <w:tc>
          <w:tcPr>
            <w:tcW w:w="6192" w:type="dxa"/>
            <w:tcBorders>
              <w:top w:val="single" w:sz="6" w:space="0" w:color="000000" w:themeColor="text1"/>
              <w:left w:val="single" w:sz="18" w:space="0" w:color="000000" w:themeColor="text1"/>
              <w:bottom w:val="single" w:sz="6" w:space="0" w:color="000000" w:themeColor="text1"/>
              <w:right w:val="single" w:sz="6" w:space="0" w:color="000000" w:themeColor="text1"/>
            </w:tcBorders>
            <w:hideMark/>
          </w:tcPr>
          <w:p w:rsidR="0096528D" w:rsidRDefault="0096528D">
            <w:pPr>
              <w:rPr>
                <w:rFonts w:ascii="Arial Narrow" w:eastAsia="Calibri" w:hAnsi="Arial Narrow" w:cs="Times New Roman"/>
                <w:b/>
              </w:rPr>
            </w:pPr>
            <w:r>
              <w:rPr>
                <w:rFonts w:ascii="Arial Narrow" w:hAnsi="Arial Narrow" w:cs="Times New Roman"/>
                <w:b/>
                <w:sz w:val="24"/>
                <w:szCs w:val="24"/>
              </w:rPr>
              <w:t>Pilonul II**</w:t>
            </w:r>
            <w:r>
              <w:rPr>
                <w:rFonts w:ascii="Arial Narrow" w:hAnsi="Arial Narrow" w:cs="Times New Roman"/>
                <w:b/>
              </w:rPr>
              <w:t xml:space="preserve"> </w:t>
            </w:r>
            <w:r>
              <w:rPr>
                <w:rFonts w:ascii="Arial Narrow" w:hAnsi="Arial Narrow" w:cs="Times New Roman"/>
              </w:rPr>
              <w:t>(Dezvoltare rurală)</w:t>
            </w:r>
          </w:p>
        </w:tc>
        <w:tc>
          <w:tcPr>
            <w:tcW w:w="3096" w:type="dxa"/>
            <w:tcBorders>
              <w:top w:val="single" w:sz="6" w:space="0" w:color="000000" w:themeColor="text1"/>
              <w:left w:val="single" w:sz="6" w:space="0" w:color="000000" w:themeColor="text1"/>
              <w:bottom w:val="single" w:sz="6" w:space="0" w:color="000000" w:themeColor="text1"/>
              <w:right w:val="single" w:sz="18" w:space="0" w:color="000000" w:themeColor="text1"/>
            </w:tcBorders>
            <w:hideMark/>
          </w:tcPr>
          <w:p w:rsidR="0096528D" w:rsidRDefault="0096528D">
            <w:pPr>
              <w:rPr>
                <w:rFonts w:ascii="Arial Narrow" w:eastAsia="Calibri" w:hAnsi="Arial Narrow" w:cs="Times New Roman"/>
                <w:b/>
                <w:sz w:val="24"/>
                <w:szCs w:val="24"/>
              </w:rPr>
            </w:pPr>
            <w:r>
              <w:rPr>
                <w:rFonts w:ascii="Arial Narrow" w:hAnsi="Arial Narrow" w:cs="Times New Roman"/>
                <w:b/>
                <w:sz w:val="24"/>
                <w:szCs w:val="24"/>
              </w:rPr>
              <w:t>7,1  miliarde euro***</w:t>
            </w:r>
          </w:p>
        </w:tc>
      </w:tr>
      <w:tr w:rsidR="0096528D" w:rsidTr="0096528D">
        <w:trPr>
          <w:trHeight w:val="359"/>
          <w:jc w:val="center"/>
        </w:trPr>
        <w:tc>
          <w:tcPr>
            <w:tcW w:w="6192"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C2D69B" w:themeFill="accent3" w:themeFillTint="99"/>
          </w:tcPr>
          <w:p w:rsidR="0096528D" w:rsidRDefault="0096528D">
            <w:pPr>
              <w:jc w:val="center"/>
              <w:rPr>
                <w:rFonts w:ascii="Arial Narrow" w:eastAsia="Calibri" w:hAnsi="Arial Narrow" w:cs="Times New Roman"/>
                <w:b/>
                <w:sz w:val="24"/>
                <w:szCs w:val="24"/>
              </w:rPr>
            </w:pPr>
          </w:p>
          <w:p w:rsidR="0096528D" w:rsidRDefault="0096528D">
            <w:pPr>
              <w:jc w:val="center"/>
              <w:rPr>
                <w:rFonts w:ascii="Arial Narrow" w:hAnsi="Arial Narrow" w:cs="Times New Roman"/>
                <w:b/>
                <w:sz w:val="24"/>
                <w:szCs w:val="24"/>
              </w:rPr>
            </w:pPr>
            <w:r>
              <w:rPr>
                <w:rFonts w:ascii="Arial Narrow" w:hAnsi="Arial Narrow" w:cs="Times New Roman"/>
                <w:b/>
                <w:sz w:val="24"/>
                <w:szCs w:val="24"/>
              </w:rPr>
              <w:t xml:space="preserve">TOTAL perioada 2014-2020 </w:t>
            </w:r>
          </w:p>
          <w:p w:rsidR="0096528D" w:rsidRDefault="0096528D">
            <w:pPr>
              <w:jc w:val="center"/>
              <w:rPr>
                <w:rFonts w:ascii="Arial Narrow" w:eastAsia="Calibri" w:hAnsi="Arial Narrow" w:cs="Times New Roman"/>
                <w:b/>
                <w:sz w:val="24"/>
                <w:szCs w:val="24"/>
              </w:rPr>
            </w:pPr>
          </w:p>
        </w:tc>
        <w:tc>
          <w:tcPr>
            <w:tcW w:w="3096" w:type="dxa"/>
            <w:tcBorders>
              <w:top w:val="single" w:sz="6" w:space="0" w:color="000000" w:themeColor="text1"/>
              <w:left w:val="single" w:sz="6" w:space="0" w:color="000000" w:themeColor="text1"/>
              <w:bottom w:val="single" w:sz="18" w:space="0" w:color="000000" w:themeColor="text1"/>
              <w:right w:val="single" w:sz="18" w:space="0" w:color="000000" w:themeColor="text1"/>
            </w:tcBorders>
            <w:shd w:val="clear" w:color="auto" w:fill="C2D69B" w:themeFill="accent3" w:themeFillTint="99"/>
          </w:tcPr>
          <w:p w:rsidR="0096528D" w:rsidRDefault="0096528D">
            <w:pPr>
              <w:rPr>
                <w:rFonts w:ascii="Arial Narrow" w:eastAsia="Calibri" w:hAnsi="Arial Narrow" w:cs="Times New Roman"/>
                <w:b/>
                <w:sz w:val="24"/>
                <w:szCs w:val="24"/>
              </w:rPr>
            </w:pPr>
          </w:p>
          <w:p w:rsidR="0096528D" w:rsidRDefault="0096528D">
            <w:pPr>
              <w:rPr>
                <w:rFonts w:ascii="Arial Narrow" w:eastAsia="Calibri" w:hAnsi="Arial Narrow" w:cs="Times New Roman"/>
                <w:b/>
                <w:sz w:val="24"/>
                <w:szCs w:val="24"/>
              </w:rPr>
            </w:pPr>
            <w:r>
              <w:rPr>
                <w:rFonts w:ascii="Arial Narrow" w:hAnsi="Arial Narrow" w:cs="Times New Roman"/>
                <w:b/>
                <w:sz w:val="24"/>
                <w:szCs w:val="24"/>
              </w:rPr>
              <w:t>17,6 miliarde euro</w:t>
            </w:r>
          </w:p>
        </w:tc>
      </w:tr>
    </w:tbl>
    <w:p w:rsidR="0096528D" w:rsidRDefault="0096528D" w:rsidP="0096528D">
      <w:pPr>
        <w:spacing w:after="0" w:line="240" w:lineRule="auto"/>
        <w:jc w:val="both"/>
        <w:rPr>
          <w:rFonts w:ascii="Arial Narrow" w:eastAsia="Calibri" w:hAnsi="Arial Narrow" w:cs="Times New Roman"/>
          <w:b/>
          <w:i/>
          <w:sz w:val="20"/>
          <w:szCs w:val="20"/>
        </w:rPr>
      </w:pPr>
      <w:r>
        <w:rPr>
          <w:rFonts w:ascii="Arial Narrow" w:hAnsi="Arial Narrow" w:cs="Times New Roman"/>
          <w:b/>
          <w:i/>
          <w:sz w:val="20"/>
          <w:szCs w:val="20"/>
        </w:rPr>
        <w:t>* 15% din suma totala (1,6 miliarde euro) destinata Pilonului I poate fi transferata catre Pilonul II la decizia Statului Membru</w:t>
      </w:r>
    </w:p>
    <w:p w:rsidR="0096528D" w:rsidRDefault="0096528D" w:rsidP="0096528D">
      <w:pPr>
        <w:spacing w:after="0" w:line="240" w:lineRule="auto"/>
        <w:rPr>
          <w:rFonts w:ascii="Arial Narrow" w:hAnsi="Arial Narrow" w:cs="Times New Roman"/>
          <w:i/>
          <w:sz w:val="20"/>
          <w:szCs w:val="20"/>
        </w:rPr>
      </w:pPr>
      <w:r>
        <w:rPr>
          <w:rFonts w:ascii="Arial Narrow" w:hAnsi="Arial Narrow" w:cs="Times New Roman"/>
          <w:i/>
          <w:sz w:val="20"/>
          <w:szCs w:val="20"/>
        </w:rPr>
        <w:t>** din care 2,5 miliarde euro sunt alocati pentru masuri de dezvoltare rurală, cum are fi renovarea, dezvoltarea satelor,îmbunătăţirea serviciilor de bază, etc sau măsuri care se adresează atât sectorului agricultură cât și silvicultură, de exemplu formare profesională sau servicii de consultanță;</w:t>
      </w:r>
    </w:p>
    <w:p w:rsidR="0096528D" w:rsidRDefault="0096528D" w:rsidP="0096528D">
      <w:pPr>
        <w:spacing w:after="0" w:line="240" w:lineRule="auto"/>
        <w:rPr>
          <w:rFonts w:ascii="Arial Narrow" w:hAnsi="Arial Narrow" w:cs="Times New Roman"/>
          <w:i/>
          <w:sz w:val="20"/>
          <w:szCs w:val="20"/>
        </w:rPr>
      </w:pPr>
      <w:r>
        <w:rPr>
          <w:rFonts w:ascii="Arial Narrow" w:hAnsi="Arial Narrow" w:cs="Times New Roman"/>
          <w:i/>
          <w:sz w:val="20"/>
          <w:szCs w:val="20"/>
        </w:rPr>
        <w:t>*** la suma din tabel se adauga contributia din Bugetul National (25%)</w:t>
      </w:r>
    </w:p>
    <w:p w:rsidR="0096528D" w:rsidRDefault="0096528D" w:rsidP="0096528D">
      <w:pPr>
        <w:spacing w:after="0" w:line="240" w:lineRule="auto"/>
        <w:rPr>
          <w:rFonts w:ascii="Arial Narrow" w:hAnsi="Arial Narrow" w:cs="Calibri"/>
          <w:i/>
        </w:rPr>
      </w:pPr>
    </w:p>
    <w:p w:rsidR="0096528D" w:rsidRDefault="0096528D" w:rsidP="0096528D">
      <w:pPr>
        <w:spacing w:after="0" w:line="240" w:lineRule="auto"/>
        <w:jc w:val="center"/>
        <w:rPr>
          <w:rFonts w:ascii="Arial Narrow" w:hAnsi="Arial Narrow" w:cs="Times New Roman"/>
          <w:sz w:val="24"/>
          <w:szCs w:val="24"/>
          <w:u w:val="single"/>
        </w:rPr>
      </w:pPr>
      <w:r>
        <w:rPr>
          <w:rFonts w:ascii="Arial Narrow" w:hAnsi="Arial Narrow" w:cs="Times New Roman"/>
          <w:sz w:val="24"/>
          <w:szCs w:val="24"/>
          <w:u w:val="single"/>
        </w:rPr>
        <w:t xml:space="preserve">Ponderea in economia nationala a sectoarelor </w:t>
      </w:r>
      <w:r>
        <w:rPr>
          <w:rFonts w:ascii="Arial Narrow" w:hAnsi="Arial Narrow" w:cs="Times New Roman"/>
          <w:i/>
          <w:sz w:val="24"/>
          <w:szCs w:val="24"/>
          <w:u w:val="single"/>
        </w:rPr>
        <w:t>Agricultura si industria alimentara</w:t>
      </w:r>
      <w:r>
        <w:rPr>
          <w:rFonts w:ascii="Arial Narrow" w:hAnsi="Arial Narrow" w:cs="Times New Roman"/>
          <w:sz w:val="24"/>
          <w:szCs w:val="24"/>
          <w:u w:val="single"/>
        </w:rPr>
        <w:t xml:space="preserve"> si </w:t>
      </w:r>
      <w:r>
        <w:rPr>
          <w:rFonts w:ascii="Arial Narrow" w:hAnsi="Arial Narrow" w:cs="Times New Roman"/>
          <w:i/>
          <w:sz w:val="24"/>
          <w:szCs w:val="24"/>
          <w:u w:val="single"/>
        </w:rPr>
        <w:t>Silvicultura si industria lemnului</w:t>
      </w:r>
      <w:r>
        <w:rPr>
          <w:rFonts w:ascii="Arial Narrow" w:hAnsi="Arial Narrow" w:cs="Times New Roman"/>
          <w:sz w:val="24"/>
          <w:szCs w:val="24"/>
          <w:u w:val="single"/>
        </w:rPr>
        <w:t>, precum si raportul posibil de alocare a resurselor din FEADR 2014-2020 intre cele doua sectoare</w:t>
      </w:r>
    </w:p>
    <w:tbl>
      <w:tblPr>
        <w:tblW w:w="9300" w:type="dxa"/>
        <w:jc w:val="center"/>
        <w:tblInd w:w="96" w:type="dxa"/>
        <w:tblLook w:val="04A0"/>
      </w:tblPr>
      <w:tblGrid>
        <w:gridCol w:w="3414"/>
        <w:gridCol w:w="1338"/>
        <w:gridCol w:w="930"/>
        <w:gridCol w:w="1096"/>
        <w:gridCol w:w="1105"/>
        <w:gridCol w:w="1417"/>
      </w:tblGrid>
      <w:tr w:rsidR="0096528D" w:rsidTr="0096528D">
        <w:trPr>
          <w:trHeight w:val="864"/>
          <w:jc w:val="center"/>
        </w:trPr>
        <w:tc>
          <w:tcPr>
            <w:tcW w:w="3414" w:type="dxa"/>
            <w:tcBorders>
              <w:top w:val="single" w:sz="18" w:space="0" w:color="auto"/>
              <w:left w:val="single" w:sz="18" w:space="0" w:color="auto"/>
              <w:bottom w:val="single" w:sz="8" w:space="0" w:color="auto"/>
              <w:right w:val="single" w:sz="4" w:space="0" w:color="auto"/>
            </w:tcBorders>
            <w:shd w:val="clear" w:color="auto" w:fill="C2D69B" w:themeFill="accent3" w:themeFillTint="99"/>
            <w:vAlign w:val="center"/>
            <w:hideMark/>
          </w:tcPr>
          <w:p w:rsidR="0096528D" w:rsidRDefault="0096528D">
            <w:pPr>
              <w:spacing w:after="0" w:line="240" w:lineRule="auto"/>
              <w:jc w:val="center"/>
              <w:rPr>
                <w:rFonts w:ascii="Arial Narrow" w:eastAsia="Times New Roman" w:hAnsi="Arial Narrow" w:cs="Times New Roman"/>
                <w:b/>
                <w:i/>
                <w:iCs/>
                <w:color w:val="000000"/>
                <w:lang w:eastAsia="ro-RO"/>
              </w:rPr>
            </w:pPr>
            <w:r>
              <w:rPr>
                <w:rFonts w:ascii="Arial Narrow" w:eastAsia="Times New Roman" w:hAnsi="Arial Narrow" w:cs="Times New Roman"/>
                <w:b/>
                <w:i/>
                <w:iCs/>
                <w:color w:val="000000"/>
                <w:lang w:eastAsia="ro-RO"/>
              </w:rPr>
              <w:t>Date      INS 2011</w:t>
            </w:r>
          </w:p>
        </w:tc>
        <w:tc>
          <w:tcPr>
            <w:tcW w:w="2268" w:type="dxa"/>
            <w:gridSpan w:val="2"/>
            <w:tcBorders>
              <w:top w:val="single" w:sz="18" w:space="0" w:color="auto"/>
              <w:left w:val="nil"/>
              <w:bottom w:val="single" w:sz="8" w:space="0" w:color="auto"/>
              <w:right w:val="single" w:sz="4" w:space="0" w:color="auto"/>
            </w:tcBorders>
            <w:shd w:val="clear" w:color="auto" w:fill="C2D69B" w:themeFill="accent3" w:themeFillTint="99"/>
            <w:vAlign w:val="center"/>
            <w:hideMark/>
          </w:tcPr>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Agricultura si     Industria Alimentara</w:t>
            </w:r>
          </w:p>
        </w:tc>
        <w:tc>
          <w:tcPr>
            <w:tcW w:w="2201" w:type="dxa"/>
            <w:gridSpan w:val="2"/>
            <w:tcBorders>
              <w:top w:val="single" w:sz="18" w:space="0" w:color="auto"/>
              <w:left w:val="nil"/>
              <w:bottom w:val="single" w:sz="8" w:space="0" w:color="auto"/>
              <w:right w:val="single" w:sz="4" w:space="0" w:color="auto"/>
            </w:tcBorders>
            <w:shd w:val="clear" w:color="auto" w:fill="C2D69B" w:themeFill="accent3" w:themeFillTint="99"/>
            <w:vAlign w:val="center"/>
            <w:hideMark/>
          </w:tcPr>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 xml:space="preserve">Silvicultura si Industria Lemnului </w:t>
            </w:r>
          </w:p>
        </w:tc>
        <w:tc>
          <w:tcPr>
            <w:tcW w:w="1417" w:type="dxa"/>
            <w:tcBorders>
              <w:top w:val="single" w:sz="18" w:space="0" w:color="auto"/>
              <w:left w:val="nil"/>
              <w:bottom w:val="single" w:sz="8" w:space="0" w:color="auto"/>
              <w:right w:val="single" w:sz="18" w:space="0" w:color="auto"/>
            </w:tcBorders>
            <w:shd w:val="clear" w:color="auto" w:fill="C2D69B" w:themeFill="accent3" w:themeFillTint="99"/>
            <w:vAlign w:val="center"/>
            <w:hideMark/>
          </w:tcPr>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RAPORT</w:t>
            </w:r>
          </w:p>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de influenta in economie</w:t>
            </w:r>
          </w:p>
        </w:tc>
      </w:tr>
      <w:tr w:rsidR="0096528D" w:rsidTr="0096528D">
        <w:trPr>
          <w:trHeight w:val="288"/>
          <w:jc w:val="center"/>
        </w:trPr>
        <w:tc>
          <w:tcPr>
            <w:tcW w:w="3414" w:type="dxa"/>
            <w:tcBorders>
              <w:top w:val="nil"/>
              <w:left w:val="single" w:sz="18" w:space="0" w:color="auto"/>
              <w:bottom w:val="single" w:sz="4" w:space="0" w:color="auto"/>
              <w:right w:val="nil"/>
            </w:tcBorders>
            <w:noWrap/>
            <w:vAlign w:val="bottom"/>
            <w:hideMark/>
          </w:tcPr>
          <w:p w:rsidR="0096528D" w:rsidRDefault="0096528D">
            <w:pPr>
              <w:spacing w:after="0" w:line="240" w:lineRule="auto"/>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 xml:space="preserve">Suprafata </w:t>
            </w:r>
          </w:p>
        </w:tc>
        <w:tc>
          <w:tcPr>
            <w:tcW w:w="1338" w:type="dxa"/>
            <w:tcBorders>
              <w:top w:val="nil"/>
              <w:left w:val="single" w:sz="4" w:space="0" w:color="auto"/>
              <w:bottom w:val="single" w:sz="4" w:space="0" w:color="auto"/>
              <w:right w:val="nil"/>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14.600.000</w:t>
            </w:r>
          </w:p>
        </w:tc>
        <w:tc>
          <w:tcPr>
            <w:tcW w:w="930" w:type="dxa"/>
            <w:tcBorders>
              <w:top w:val="nil"/>
              <w:left w:val="nil"/>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ha</w:t>
            </w:r>
          </w:p>
        </w:tc>
        <w:tc>
          <w:tcPr>
            <w:tcW w:w="1096" w:type="dxa"/>
            <w:tcBorders>
              <w:top w:val="nil"/>
              <w:left w:val="nil"/>
              <w:bottom w:val="single" w:sz="4" w:space="0" w:color="auto"/>
              <w:right w:val="nil"/>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6.700.000</w:t>
            </w:r>
          </w:p>
        </w:tc>
        <w:tc>
          <w:tcPr>
            <w:tcW w:w="1105" w:type="dxa"/>
            <w:tcBorders>
              <w:top w:val="nil"/>
              <w:left w:val="nil"/>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ha</w:t>
            </w:r>
          </w:p>
        </w:tc>
        <w:tc>
          <w:tcPr>
            <w:tcW w:w="1417" w:type="dxa"/>
            <w:tcBorders>
              <w:top w:val="nil"/>
              <w:left w:val="nil"/>
              <w:bottom w:val="single" w:sz="4" w:space="0" w:color="auto"/>
              <w:right w:val="single" w:sz="18" w:space="0" w:color="auto"/>
            </w:tcBorders>
            <w:noWrap/>
            <w:vAlign w:val="bottom"/>
            <w:hideMark/>
          </w:tcPr>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2,2</w:t>
            </w:r>
          </w:p>
        </w:tc>
      </w:tr>
      <w:tr w:rsidR="0096528D" w:rsidTr="0096528D">
        <w:trPr>
          <w:trHeight w:val="288"/>
          <w:jc w:val="center"/>
        </w:trPr>
        <w:tc>
          <w:tcPr>
            <w:tcW w:w="3414" w:type="dxa"/>
            <w:tcBorders>
              <w:top w:val="single" w:sz="4" w:space="0" w:color="auto"/>
              <w:left w:val="single" w:sz="18" w:space="0" w:color="auto"/>
              <w:bottom w:val="single" w:sz="4" w:space="0" w:color="auto"/>
              <w:right w:val="nil"/>
            </w:tcBorders>
            <w:shd w:val="clear" w:color="auto" w:fill="D6E3BC" w:themeFill="accent3" w:themeFillTint="66"/>
            <w:noWrap/>
            <w:vAlign w:val="bottom"/>
            <w:hideMark/>
          </w:tcPr>
          <w:p w:rsidR="0096528D" w:rsidRDefault="0096528D">
            <w:pPr>
              <w:spacing w:after="0" w:line="240" w:lineRule="auto"/>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 xml:space="preserve">Numar proprietati </w:t>
            </w:r>
          </w:p>
        </w:tc>
        <w:tc>
          <w:tcPr>
            <w:tcW w:w="1338" w:type="dxa"/>
            <w:tcBorders>
              <w:top w:val="single" w:sz="4" w:space="0" w:color="auto"/>
              <w:left w:val="single" w:sz="4" w:space="0" w:color="auto"/>
              <w:bottom w:val="single" w:sz="4" w:space="0" w:color="auto"/>
              <w:right w:val="nil"/>
            </w:tcBorders>
            <w:shd w:val="clear" w:color="auto" w:fill="D6E3BC" w:themeFill="accent3" w:themeFillTint="66"/>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4.000.000</w:t>
            </w:r>
          </w:p>
        </w:tc>
        <w:tc>
          <w:tcPr>
            <w:tcW w:w="93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 </w:t>
            </w:r>
          </w:p>
        </w:tc>
        <w:tc>
          <w:tcPr>
            <w:tcW w:w="1096" w:type="dxa"/>
            <w:tcBorders>
              <w:top w:val="single" w:sz="4" w:space="0" w:color="auto"/>
              <w:left w:val="nil"/>
              <w:bottom w:val="single" w:sz="4" w:space="0" w:color="auto"/>
              <w:right w:val="nil"/>
            </w:tcBorders>
            <w:shd w:val="clear" w:color="auto" w:fill="D6E3BC" w:themeFill="accent3" w:themeFillTint="66"/>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800.000</w:t>
            </w:r>
          </w:p>
        </w:tc>
        <w:tc>
          <w:tcPr>
            <w:tcW w:w="110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 </w:t>
            </w:r>
          </w:p>
        </w:tc>
        <w:tc>
          <w:tcPr>
            <w:tcW w:w="1417" w:type="dxa"/>
            <w:tcBorders>
              <w:top w:val="single" w:sz="4" w:space="0" w:color="auto"/>
              <w:left w:val="nil"/>
              <w:bottom w:val="single" w:sz="4" w:space="0" w:color="auto"/>
              <w:right w:val="single" w:sz="18" w:space="0" w:color="auto"/>
            </w:tcBorders>
            <w:shd w:val="clear" w:color="auto" w:fill="D6E3BC" w:themeFill="accent3" w:themeFillTint="66"/>
            <w:noWrap/>
            <w:vAlign w:val="bottom"/>
            <w:hideMark/>
          </w:tcPr>
          <w:p w:rsidR="0096528D" w:rsidRDefault="0096528D">
            <w:pPr>
              <w:spacing w:after="0" w:line="240" w:lineRule="auto"/>
              <w:jc w:val="center"/>
              <w:rPr>
                <w:rFonts w:ascii="Arial Narrow" w:eastAsia="Times New Roman" w:hAnsi="Arial Narrow" w:cs="Times New Roman"/>
                <w:b/>
                <w:bCs/>
                <w:lang w:eastAsia="ro-RO"/>
              </w:rPr>
            </w:pPr>
            <w:r>
              <w:rPr>
                <w:rFonts w:ascii="Arial Narrow" w:eastAsia="Times New Roman" w:hAnsi="Arial Narrow" w:cs="Times New Roman"/>
                <w:b/>
                <w:bCs/>
                <w:lang w:eastAsia="ro-RO"/>
              </w:rPr>
              <w:t>5,0</w:t>
            </w:r>
          </w:p>
        </w:tc>
      </w:tr>
      <w:tr w:rsidR="0096528D" w:rsidTr="0096528D">
        <w:trPr>
          <w:trHeight w:val="288"/>
          <w:jc w:val="center"/>
        </w:trPr>
        <w:tc>
          <w:tcPr>
            <w:tcW w:w="3414" w:type="dxa"/>
            <w:tcBorders>
              <w:top w:val="nil"/>
              <w:left w:val="single" w:sz="18" w:space="0" w:color="auto"/>
              <w:bottom w:val="single" w:sz="4" w:space="0" w:color="auto"/>
              <w:right w:val="nil"/>
            </w:tcBorders>
            <w:noWrap/>
            <w:vAlign w:val="bottom"/>
            <w:hideMark/>
          </w:tcPr>
          <w:p w:rsidR="0096528D" w:rsidRDefault="0096528D">
            <w:pPr>
              <w:spacing w:after="0" w:line="240" w:lineRule="auto"/>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Numar de companii</w:t>
            </w:r>
          </w:p>
        </w:tc>
        <w:tc>
          <w:tcPr>
            <w:tcW w:w="1338" w:type="dxa"/>
            <w:tcBorders>
              <w:top w:val="nil"/>
              <w:left w:val="single" w:sz="4" w:space="0" w:color="auto"/>
              <w:bottom w:val="single" w:sz="4" w:space="0" w:color="auto"/>
              <w:right w:val="nil"/>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20.882</w:t>
            </w:r>
          </w:p>
        </w:tc>
        <w:tc>
          <w:tcPr>
            <w:tcW w:w="930" w:type="dxa"/>
            <w:tcBorders>
              <w:top w:val="nil"/>
              <w:left w:val="nil"/>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 </w:t>
            </w:r>
          </w:p>
        </w:tc>
        <w:tc>
          <w:tcPr>
            <w:tcW w:w="1096" w:type="dxa"/>
            <w:tcBorders>
              <w:top w:val="nil"/>
              <w:left w:val="nil"/>
              <w:bottom w:val="single" w:sz="4" w:space="0" w:color="auto"/>
              <w:right w:val="nil"/>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12.537</w:t>
            </w:r>
          </w:p>
        </w:tc>
        <w:tc>
          <w:tcPr>
            <w:tcW w:w="1105" w:type="dxa"/>
            <w:tcBorders>
              <w:top w:val="nil"/>
              <w:left w:val="nil"/>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 </w:t>
            </w:r>
          </w:p>
        </w:tc>
        <w:tc>
          <w:tcPr>
            <w:tcW w:w="1417" w:type="dxa"/>
            <w:tcBorders>
              <w:top w:val="nil"/>
              <w:left w:val="nil"/>
              <w:bottom w:val="single" w:sz="4" w:space="0" w:color="auto"/>
              <w:right w:val="single" w:sz="18" w:space="0" w:color="auto"/>
            </w:tcBorders>
            <w:noWrap/>
            <w:vAlign w:val="bottom"/>
            <w:hideMark/>
          </w:tcPr>
          <w:p w:rsidR="0096528D" w:rsidRDefault="0096528D">
            <w:pPr>
              <w:spacing w:after="0" w:line="240" w:lineRule="auto"/>
              <w:jc w:val="center"/>
              <w:rPr>
                <w:rFonts w:ascii="Arial Narrow" w:eastAsia="Times New Roman" w:hAnsi="Arial Narrow" w:cs="Times New Roman"/>
                <w:b/>
                <w:bCs/>
                <w:lang w:eastAsia="ro-RO"/>
              </w:rPr>
            </w:pPr>
            <w:r>
              <w:rPr>
                <w:rFonts w:ascii="Arial Narrow" w:eastAsia="Times New Roman" w:hAnsi="Arial Narrow" w:cs="Times New Roman"/>
                <w:b/>
                <w:bCs/>
                <w:lang w:eastAsia="ro-RO"/>
              </w:rPr>
              <w:t>1,7</w:t>
            </w:r>
          </w:p>
        </w:tc>
      </w:tr>
      <w:tr w:rsidR="0096528D" w:rsidTr="0096528D">
        <w:trPr>
          <w:trHeight w:val="288"/>
          <w:jc w:val="center"/>
        </w:trPr>
        <w:tc>
          <w:tcPr>
            <w:tcW w:w="3414" w:type="dxa"/>
            <w:tcBorders>
              <w:top w:val="single" w:sz="4" w:space="0" w:color="auto"/>
              <w:left w:val="single" w:sz="18" w:space="0" w:color="auto"/>
              <w:bottom w:val="single" w:sz="4" w:space="0" w:color="auto"/>
              <w:right w:val="nil"/>
            </w:tcBorders>
            <w:shd w:val="clear" w:color="auto" w:fill="D6E3BC" w:themeFill="accent3" w:themeFillTint="66"/>
            <w:noWrap/>
            <w:vAlign w:val="bottom"/>
            <w:hideMark/>
          </w:tcPr>
          <w:p w:rsidR="0096528D" w:rsidRDefault="0096528D">
            <w:pPr>
              <w:spacing w:after="0" w:line="240" w:lineRule="auto"/>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Angajati inregistrati</w:t>
            </w:r>
          </w:p>
        </w:tc>
        <w:tc>
          <w:tcPr>
            <w:tcW w:w="1338" w:type="dxa"/>
            <w:tcBorders>
              <w:top w:val="single" w:sz="4" w:space="0" w:color="auto"/>
              <w:left w:val="single" w:sz="4" w:space="0" w:color="auto"/>
              <w:bottom w:val="single" w:sz="4" w:space="0" w:color="auto"/>
              <w:right w:val="nil"/>
            </w:tcBorders>
            <w:shd w:val="clear" w:color="auto" w:fill="D6E3BC" w:themeFill="accent3" w:themeFillTint="66"/>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285.491</w:t>
            </w:r>
          </w:p>
        </w:tc>
        <w:tc>
          <w:tcPr>
            <w:tcW w:w="93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 </w:t>
            </w:r>
          </w:p>
        </w:tc>
        <w:tc>
          <w:tcPr>
            <w:tcW w:w="1096" w:type="dxa"/>
            <w:tcBorders>
              <w:top w:val="single" w:sz="4" w:space="0" w:color="auto"/>
              <w:left w:val="nil"/>
              <w:bottom w:val="single" w:sz="4" w:space="0" w:color="auto"/>
              <w:right w:val="nil"/>
            </w:tcBorders>
            <w:shd w:val="clear" w:color="auto" w:fill="D6E3BC" w:themeFill="accent3" w:themeFillTint="66"/>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142.676</w:t>
            </w:r>
          </w:p>
        </w:tc>
        <w:tc>
          <w:tcPr>
            <w:tcW w:w="110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 </w:t>
            </w:r>
          </w:p>
        </w:tc>
        <w:tc>
          <w:tcPr>
            <w:tcW w:w="1417" w:type="dxa"/>
            <w:tcBorders>
              <w:top w:val="single" w:sz="4" w:space="0" w:color="auto"/>
              <w:left w:val="nil"/>
              <w:bottom w:val="single" w:sz="4" w:space="0" w:color="auto"/>
              <w:right w:val="single" w:sz="18" w:space="0" w:color="auto"/>
            </w:tcBorders>
            <w:shd w:val="clear" w:color="auto" w:fill="D6E3BC" w:themeFill="accent3" w:themeFillTint="66"/>
            <w:noWrap/>
            <w:vAlign w:val="bottom"/>
            <w:hideMark/>
          </w:tcPr>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2,0</w:t>
            </w:r>
          </w:p>
        </w:tc>
      </w:tr>
      <w:tr w:rsidR="0096528D" w:rsidTr="0096528D">
        <w:trPr>
          <w:trHeight w:val="288"/>
          <w:jc w:val="center"/>
        </w:trPr>
        <w:tc>
          <w:tcPr>
            <w:tcW w:w="3414" w:type="dxa"/>
            <w:tcBorders>
              <w:top w:val="nil"/>
              <w:left w:val="single" w:sz="18" w:space="0" w:color="auto"/>
              <w:bottom w:val="single" w:sz="4" w:space="0" w:color="auto"/>
              <w:right w:val="nil"/>
            </w:tcBorders>
            <w:noWrap/>
            <w:vAlign w:val="bottom"/>
            <w:hideMark/>
          </w:tcPr>
          <w:p w:rsidR="0096528D" w:rsidRDefault="0096528D">
            <w:pPr>
              <w:spacing w:after="0" w:line="240" w:lineRule="auto"/>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Ponderea in PIB*</w:t>
            </w:r>
          </w:p>
        </w:tc>
        <w:tc>
          <w:tcPr>
            <w:tcW w:w="1338" w:type="dxa"/>
            <w:tcBorders>
              <w:top w:val="nil"/>
              <w:left w:val="single" w:sz="4" w:space="0" w:color="auto"/>
              <w:bottom w:val="single" w:sz="4" w:space="0" w:color="auto"/>
              <w:right w:val="nil"/>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13,5</w:t>
            </w:r>
          </w:p>
        </w:tc>
        <w:tc>
          <w:tcPr>
            <w:tcW w:w="930" w:type="dxa"/>
            <w:tcBorders>
              <w:top w:val="nil"/>
              <w:left w:val="nil"/>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w:t>
            </w:r>
          </w:p>
        </w:tc>
        <w:tc>
          <w:tcPr>
            <w:tcW w:w="1096" w:type="dxa"/>
            <w:tcBorders>
              <w:top w:val="nil"/>
              <w:left w:val="nil"/>
              <w:bottom w:val="single" w:sz="4" w:space="0" w:color="auto"/>
              <w:right w:val="nil"/>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3,5</w:t>
            </w:r>
          </w:p>
        </w:tc>
        <w:tc>
          <w:tcPr>
            <w:tcW w:w="1105" w:type="dxa"/>
            <w:tcBorders>
              <w:top w:val="nil"/>
              <w:left w:val="nil"/>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w:t>
            </w:r>
          </w:p>
        </w:tc>
        <w:tc>
          <w:tcPr>
            <w:tcW w:w="1417" w:type="dxa"/>
            <w:tcBorders>
              <w:top w:val="nil"/>
              <w:left w:val="nil"/>
              <w:bottom w:val="single" w:sz="4" w:space="0" w:color="auto"/>
              <w:right w:val="single" w:sz="18" w:space="0" w:color="auto"/>
            </w:tcBorders>
            <w:noWrap/>
            <w:vAlign w:val="bottom"/>
            <w:hideMark/>
          </w:tcPr>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3,9</w:t>
            </w:r>
          </w:p>
        </w:tc>
      </w:tr>
      <w:tr w:rsidR="0096528D" w:rsidTr="0096528D">
        <w:trPr>
          <w:trHeight w:val="300"/>
          <w:jc w:val="center"/>
        </w:trPr>
        <w:tc>
          <w:tcPr>
            <w:tcW w:w="3414" w:type="dxa"/>
            <w:tcBorders>
              <w:top w:val="single" w:sz="4" w:space="0" w:color="auto"/>
              <w:left w:val="single" w:sz="18" w:space="0" w:color="auto"/>
              <w:bottom w:val="single" w:sz="18" w:space="0" w:color="auto"/>
              <w:right w:val="nil"/>
            </w:tcBorders>
            <w:shd w:val="clear" w:color="auto" w:fill="D6E3BC" w:themeFill="accent3" w:themeFillTint="66"/>
            <w:noWrap/>
            <w:vAlign w:val="bottom"/>
            <w:hideMark/>
          </w:tcPr>
          <w:p w:rsidR="0096528D" w:rsidRDefault="0096528D">
            <w:pPr>
              <w:spacing w:after="0" w:line="240" w:lineRule="auto"/>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Ponderea in Exporturi Nationale</w:t>
            </w:r>
          </w:p>
        </w:tc>
        <w:tc>
          <w:tcPr>
            <w:tcW w:w="1338" w:type="dxa"/>
            <w:tcBorders>
              <w:top w:val="single" w:sz="4" w:space="0" w:color="auto"/>
              <w:left w:val="single" w:sz="4" w:space="0" w:color="auto"/>
              <w:bottom w:val="single" w:sz="18" w:space="0" w:color="auto"/>
              <w:right w:val="nil"/>
            </w:tcBorders>
            <w:shd w:val="clear" w:color="auto" w:fill="D6E3BC" w:themeFill="accent3" w:themeFillTint="66"/>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10,0</w:t>
            </w:r>
          </w:p>
        </w:tc>
        <w:tc>
          <w:tcPr>
            <w:tcW w:w="930" w:type="dxa"/>
            <w:tcBorders>
              <w:top w:val="single" w:sz="4" w:space="0" w:color="auto"/>
              <w:left w:val="nil"/>
              <w:bottom w:val="single" w:sz="18" w:space="0" w:color="auto"/>
              <w:right w:val="single" w:sz="4" w:space="0" w:color="auto"/>
            </w:tcBorders>
            <w:shd w:val="clear" w:color="auto" w:fill="D6E3BC" w:themeFill="accent3" w:themeFillTint="66"/>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w:t>
            </w:r>
          </w:p>
        </w:tc>
        <w:tc>
          <w:tcPr>
            <w:tcW w:w="1096" w:type="dxa"/>
            <w:tcBorders>
              <w:top w:val="single" w:sz="4" w:space="0" w:color="auto"/>
              <w:left w:val="nil"/>
              <w:bottom w:val="single" w:sz="18" w:space="0" w:color="auto"/>
              <w:right w:val="nil"/>
            </w:tcBorders>
            <w:shd w:val="clear" w:color="auto" w:fill="D6E3BC" w:themeFill="accent3" w:themeFillTint="66"/>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7,0</w:t>
            </w:r>
          </w:p>
        </w:tc>
        <w:tc>
          <w:tcPr>
            <w:tcW w:w="1105" w:type="dxa"/>
            <w:tcBorders>
              <w:top w:val="single" w:sz="4" w:space="0" w:color="auto"/>
              <w:left w:val="nil"/>
              <w:bottom w:val="single" w:sz="18" w:space="0" w:color="auto"/>
              <w:right w:val="single" w:sz="4" w:space="0" w:color="auto"/>
            </w:tcBorders>
            <w:shd w:val="clear" w:color="auto" w:fill="D6E3BC" w:themeFill="accent3" w:themeFillTint="66"/>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w:t>
            </w:r>
          </w:p>
        </w:tc>
        <w:tc>
          <w:tcPr>
            <w:tcW w:w="1417" w:type="dxa"/>
            <w:tcBorders>
              <w:top w:val="single" w:sz="4" w:space="0" w:color="auto"/>
              <w:left w:val="nil"/>
              <w:bottom w:val="single" w:sz="18" w:space="0" w:color="auto"/>
              <w:right w:val="single" w:sz="18" w:space="0" w:color="auto"/>
            </w:tcBorders>
            <w:shd w:val="clear" w:color="auto" w:fill="D6E3BC" w:themeFill="accent3" w:themeFillTint="66"/>
            <w:noWrap/>
            <w:vAlign w:val="bottom"/>
            <w:hideMark/>
          </w:tcPr>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1,4</w:t>
            </w:r>
          </w:p>
        </w:tc>
      </w:tr>
    </w:tbl>
    <w:p w:rsidR="0096528D" w:rsidRDefault="0096528D" w:rsidP="0096528D">
      <w:pPr>
        <w:spacing w:after="0" w:line="240" w:lineRule="auto"/>
        <w:rPr>
          <w:rFonts w:ascii="Arial Narrow" w:eastAsia="Calibri" w:hAnsi="Arial Narrow" w:cs="Times New Roman"/>
          <w:i/>
          <w:sz w:val="20"/>
          <w:szCs w:val="20"/>
        </w:rPr>
      </w:pPr>
      <w:r>
        <w:rPr>
          <w:rFonts w:ascii="Arial Narrow" w:hAnsi="Arial Narrow" w:cs="Times New Roman"/>
          <w:i/>
          <w:sz w:val="20"/>
          <w:szCs w:val="20"/>
        </w:rPr>
        <w:t>*Tabel INS - CON105D - valori 2010</w:t>
      </w:r>
    </w:p>
    <w:p w:rsidR="0096528D" w:rsidRDefault="0096528D" w:rsidP="0096528D">
      <w:pPr>
        <w:spacing w:after="0" w:line="240" w:lineRule="auto"/>
        <w:jc w:val="center"/>
        <w:rPr>
          <w:rFonts w:ascii="Arial Narrow" w:hAnsi="Arial Narrow" w:cs="Times New Roman"/>
          <w:sz w:val="24"/>
          <w:szCs w:val="24"/>
          <w:u w:val="single"/>
        </w:rPr>
      </w:pPr>
      <w:r>
        <w:rPr>
          <w:rFonts w:ascii="Arial Narrow" w:hAnsi="Arial Narrow" w:cs="Times New Roman"/>
          <w:sz w:val="24"/>
          <w:szCs w:val="24"/>
          <w:u w:val="single"/>
        </w:rPr>
        <w:t xml:space="preserve">Alocarea financiara </w:t>
      </w:r>
      <w:r>
        <w:rPr>
          <w:rFonts w:ascii="Arial Narrow" w:hAnsi="Arial Narrow" w:cs="Times New Roman"/>
          <w:b/>
          <w:sz w:val="24"/>
          <w:szCs w:val="24"/>
          <w:u w:val="single"/>
        </w:rPr>
        <w:t>minima</w:t>
      </w:r>
      <w:r>
        <w:rPr>
          <w:rFonts w:ascii="Arial Narrow" w:hAnsi="Arial Narrow" w:cs="Times New Roman"/>
          <w:sz w:val="24"/>
          <w:szCs w:val="24"/>
          <w:u w:val="single"/>
        </w:rPr>
        <w:t xml:space="preserve"> si </w:t>
      </w:r>
      <w:r>
        <w:rPr>
          <w:rFonts w:ascii="Arial Narrow" w:hAnsi="Arial Narrow" w:cs="Times New Roman"/>
          <w:b/>
          <w:sz w:val="24"/>
          <w:szCs w:val="24"/>
          <w:u w:val="single"/>
        </w:rPr>
        <w:t>maxima</w:t>
      </w:r>
      <w:r>
        <w:rPr>
          <w:rFonts w:ascii="Arial Narrow" w:hAnsi="Arial Narrow" w:cs="Times New Roman"/>
          <w:sz w:val="24"/>
          <w:szCs w:val="24"/>
          <w:u w:val="single"/>
        </w:rPr>
        <w:t xml:space="preserve"> catre Sectorul silvicultura si industria lemnului </w:t>
      </w:r>
    </w:p>
    <w:p w:rsidR="0096528D" w:rsidRDefault="0096528D" w:rsidP="0096528D">
      <w:pPr>
        <w:spacing w:after="0" w:line="240" w:lineRule="auto"/>
        <w:jc w:val="center"/>
        <w:rPr>
          <w:rFonts w:ascii="Arial Narrow" w:hAnsi="Arial Narrow" w:cs="Times New Roman"/>
          <w:sz w:val="24"/>
          <w:szCs w:val="24"/>
          <w:u w:val="single"/>
        </w:rPr>
      </w:pPr>
      <w:r>
        <w:rPr>
          <w:rFonts w:ascii="Arial Narrow" w:hAnsi="Arial Narrow" w:cs="Times New Roman"/>
          <w:sz w:val="24"/>
          <w:szCs w:val="24"/>
          <w:u w:val="single"/>
        </w:rPr>
        <w:t>din FEADR 2014-2020</w:t>
      </w:r>
    </w:p>
    <w:tbl>
      <w:tblPr>
        <w:tblW w:w="9415" w:type="dxa"/>
        <w:jc w:val="center"/>
        <w:tblInd w:w="96" w:type="dxa"/>
        <w:tblLook w:val="04A0"/>
      </w:tblPr>
      <w:tblGrid>
        <w:gridCol w:w="3177"/>
        <w:gridCol w:w="494"/>
        <w:gridCol w:w="1463"/>
        <w:gridCol w:w="1275"/>
        <w:gridCol w:w="1578"/>
        <w:gridCol w:w="1428"/>
      </w:tblGrid>
      <w:tr w:rsidR="0096528D" w:rsidTr="0096528D">
        <w:trPr>
          <w:trHeight w:val="948"/>
          <w:jc w:val="center"/>
        </w:trPr>
        <w:tc>
          <w:tcPr>
            <w:tcW w:w="3671" w:type="dxa"/>
            <w:gridSpan w:val="2"/>
            <w:vMerge w:val="restart"/>
            <w:tcBorders>
              <w:top w:val="single" w:sz="18" w:space="0" w:color="auto"/>
              <w:left w:val="single" w:sz="18" w:space="0" w:color="auto"/>
              <w:bottom w:val="single" w:sz="4" w:space="0" w:color="auto"/>
              <w:right w:val="single" w:sz="4" w:space="0" w:color="auto"/>
            </w:tcBorders>
            <w:vAlign w:val="center"/>
            <w:hideMark/>
          </w:tcPr>
          <w:p w:rsidR="0096528D" w:rsidRDefault="0096528D">
            <w:pPr>
              <w:spacing w:after="0" w:line="240" w:lineRule="auto"/>
              <w:jc w:val="center"/>
              <w:rPr>
                <w:rFonts w:ascii="Arial Narrow" w:eastAsia="Times New Roman" w:hAnsi="Arial Narrow" w:cs="Times New Roman"/>
                <w:color w:val="000000"/>
                <w:lang w:eastAsia="ro-RO"/>
              </w:rPr>
            </w:pPr>
            <w:r>
              <w:rPr>
                <w:rFonts w:ascii="Arial Narrow" w:eastAsia="Times New Roman" w:hAnsi="Arial Narrow" w:cs="Times New Roman"/>
                <w:b/>
                <w:bCs/>
                <w:color w:val="000000"/>
                <w:lang w:eastAsia="ro-RO"/>
              </w:rPr>
              <w:t>Raport</w:t>
            </w:r>
            <w:r>
              <w:rPr>
                <w:rFonts w:ascii="Arial Narrow" w:eastAsia="Times New Roman" w:hAnsi="Arial Narrow" w:cs="Times New Roman"/>
                <w:color w:val="000000"/>
                <w:lang w:eastAsia="ro-RO"/>
              </w:rPr>
              <w:t xml:space="preserve"> pondere in economia nationala</w:t>
            </w:r>
          </w:p>
        </w:tc>
        <w:tc>
          <w:tcPr>
            <w:tcW w:w="2738" w:type="dxa"/>
            <w:gridSpan w:val="2"/>
            <w:tcBorders>
              <w:top w:val="single" w:sz="18" w:space="0" w:color="auto"/>
              <w:left w:val="nil"/>
              <w:bottom w:val="single" w:sz="4" w:space="0" w:color="auto"/>
              <w:right w:val="single" w:sz="4" w:space="0" w:color="auto"/>
            </w:tcBorders>
            <w:vAlign w:val="center"/>
            <w:hideMark/>
          </w:tcPr>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 xml:space="preserve">Valoare Pilonul II </w:t>
            </w:r>
          </w:p>
        </w:tc>
        <w:tc>
          <w:tcPr>
            <w:tcW w:w="3006" w:type="dxa"/>
            <w:gridSpan w:val="2"/>
            <w:tcBorders>
              <w:top w:val="single" w:sz="18" w:space="0" w:color="auto"/>
              <w:left w:val="nil"/>
              <w:bottom w:val="single" w:sz="4" w:space="0" w:color="auto"/>
              <w:right w:val="single" w:sz="18" w:space="0" w:color="auto"/>
            </w:tcBorders>
            <w:vAlign w:val="center"/>
            <w:hideMark/>
          </w:tcPr>
          <w:p w:rsidR="0096528D" w:rsidRDefault="0096528D">
            <w:pPr>
              <w:spacing w:after="0" w:line="240" w:lineRule="auto"/>
              <w:jc w:val="center"/>
              <w:rPr>
                <w:rFonts w:ascii="Arial Narrow" w:eastAsia="Times New Roman" w:hAnsi="Arial Narrow" w:cs="Times New Roman"/>
                <w:b/>
                <w:bCs/>
                <w:color w:val="000000"/>
                <w:lang w:eastAsia="ro-RO"/>
              </w:rPr>
            </w:pPr>
            <w:r>
              <w:rPr>
                <w:rFonts w:ascii="Arial Narrow" w:eastAsia="Times New Roman" w:hAnsi="Arial Narrow" w:cs="Times New Roman"/>
                <w:b/>
                <w:bCs/>
                <w:color w:val="000000"/>
                <w:lang w:eastAsia="ro-RO"/>
              </w:rPr>
              <w:t>Alocare Sectorul Silvicultura Industria Lemnului</w:t>
            </w:r>
          </w:p>
        </w:tc>
      </w:tr>
      <w:tr w:rsidR="0096528D" w:rsidTr="0096528D">
        <w:trPr>
          <w:trHeight w:val="864"/>
          <w:jc w:val="center"/>
        </w:trPr>
        <w:tc>
          <w:tcPr>
            <w:tcW w:w="0" w:type="auto"/>
            <w:gridSpan w:val="2"/>
            <w:vMerge/>
            <w:tcBorders>
              <w:top w:val="single" w:sz="18" w:space="0" w:color="auto"/>
              <w:left w:val="single" w:sz="18" w:space="0" w:color="auto"/>
              <w:bottom w:val="single" w:sz="4" w:space="0" w:color="auto"/>
              <w:right w:val="single" w:sz="4" w:space="0" w:color="auto"/>
            </w:tcBorders>
            <w:vAlign w:val="center"/>
            <w:hideMark/>
          </w:tcPr>
          <w:p w:rsidR="0096528D" w:rsidRDefault="0096528D">
            <w:pPr>
              <w:spacing w:after="0" w:line="240" w:lineRule="auto"/>
              <w:rPr>
                <w:rFonts w:ascii="Arial Narrow" w:eastAsia="Times New Roman" w:hAnsi="Arial Narrow" w:cs="Times New Roman"/>
                <w:color w:val="000000"/>
                <w:lang w:eastAsia="ro-RO"/>
              </w:rPr>
            </w:pPr>
          </w:p>
        </w:tc>
        <w:tc>
          <w:tcPr>
            <w:tcW w:w="1463" w:type="dxa"/>
            <w:tcBorders>
              <w:top w:val="nil"/>
              <w:left w:val="nil"/>
              <w:bottom w:val="single" w:sz="4" w:space="0" w:color="auto"/>
              <w:right w:val="single" w:sz="4" w:space="0" w:color="auto"/>
            </w:tcBorders>
            <w:vAlign w:val="center"/>
            <w:hideMark/>
          </w:tcPr>
          <w:p w:rsidR="0096528D" w:rsidRDefault="0096528D">
            <w:pPr>
              <w:spacing w:after="0" w:line="240" w:lineRule="auto"/>
              <w:jc w:val="center"/>
              <w:rPr>
                <w:rFonts w:ascii="Arial Narrow" w:eastAsia="Times New Roman" w:hAnsi="Arial Narrow" w:cs="Times New Roman"/>
                <w:color w:val="000000"/>
                <w:lang w:eastAsia="ro-RO"/>
              </w:rPr>
            </w:pPr>
            <w:r>
              <w:rPr>
                <w:rFonts w:ascii="Arial Narrow" w:eastAsia="Times New Roman" w:hAnsi="Arial Narrow" w:cs="Times New Roman"/>
                <w:b/>
                <w:bCs/>
                <w:color w:val="000000"/>
                <w:lang w:eastAsia="ro-RO"/>
              </w:rPr>
              <w:t>fara</w:t>
            </w:r>
            <w:r>
              <w:rPr>
                <w:rFonts w:ascii="Arial Narrow" w:eastAsia="Times New Roman" w:hAnsi="Arial Narrow" w:cs="Times New Roman"/>
                <w:color w:val="000000"/>
                <w:lang w:eastAsia="ro-RO"/>
              </w:rPr>
              <w:t xml:space="preserve"> 15% din pilonul I </w:t>
            </w:r>
            <w:r>
              <w:rPr>
                <w:rFonts w:ascii="Arial Narrow" w:eastAsia="Times New Roman" w:hAnsi="Arial Narrow" w:cs="Times New Roman"/>
                <w:b/>
                <w:color w:val="000000"/>
                <w:lang w:eastAsia="ro-RO"/>
              </w:rPr>
              <w:t>(mld.euro)</w:t>
            </w:r>
          </w:p>
        </w:tc>
        <w:tc>
          <w:tcPr>
            <w:tcW w:w="1275" w:type="dxa"/>
            <w:tcBorders>
              <w:top w:val="nil"/>
              <w:left w:val="nil"/>
              <w:bottom w:val="single" w:sz="4" w:space="0" w:color="auto"/>
              <w:right w:val="single" w:sz="4" w:space="0" w:color="auto"/>
            </w:tcBorders>
            <w:vAlign w:val="center"/>
            <w:hideMark/>
          </w:tcPr>
          <w:p w:rsidR="0096528D" w:rsidRDefault="0096528D">
            <w:pPr>
              <w:spacing w:after="0" w:line="240" w:lineRule="auto"/>
              <w:jc w:val="center"/>
              <w:rPr>
                <w:rFonts w:ascii="Arial Narrow" w:eastAsia="Times New Roman" w:hAnsi="Arial Narrow" w:cs="Times New Roman"/>
                <w:color w:val="000000"/>
                <w:lang w:eastAsia="ro-RO"/>
              </w:rPr>
            </w:pPr>
            <w:r>
              <w:rPr>
                <w:rFonts w:ascii="Arial Narrow" w:eastAsia="Times New Roman" w:hAnsi="Arial Narrow" w:cs="Times New Roman"/>
                <w:b/>
                <w:bCs/>
                <w:color w:val="000000"/>
                <w:lang w:eastAsia="ro-RO"/>
              </w:rPr>
              <w:t>cu</w:t>
            </w:r>
            <w:r>
              <w:rPr>
                <w:rFonts w:ascii="Arial Narrow" w:eastAsia="Times New Roman" w:hAnsi="Arial Narrow" w:cs="Times New Roman"/>
                <w:color w:val="000000"/>
                <w:lang w:eastAsia="ro-RO"/>
              </w:rPr>
              <w:t xml:space="preserve"> 15% din pilonul I </w:t>
            </w:r>
            <w:r>
              <w:rPr>
                <w:rFonts w:ascii="Arial Narrow" w:eastAsia="Times New Roman" w:hAnsi="Arial Narrow" w:cs="Times New Roman"/>
                <w:b/>
                <w:color w:val="000000"/>
                <w:lang w:eastAsia="ro-RO"/>
              </w:rPr>
              <w:t>(mld.euro)</w:t>
            </w:r>
          </w:p>
        </w:tc>
        <w:tc>
          <w:tcPr>
            <w:tcW w:w="1578" w:type="dxa"/>
            <w:tcBorders>
              <w:top w:val="nil"/>
              <w:left w:val="nil"/>
              <w:bottom w:val="single" w:sz="4" w:space="0" w:color="auto"/>
              <w:right w:val="single" w:sz="4" w:space="0" w:color="auto"/>
            </w:tcBorders>
            <w:vAlign w:val="center"/>
            <w:hideMark/>
          </w:tcPr>
          <w:p w:rsidR="0096528D" w:rsidRDefault="0096528D">
            <w:pPr>
              <w:spacing w:after="0" w:line="240" w:lineRule="auto"/>
              <w:jc w:val="center"/>
              <w:rPr>
                <w:rFonts w:ascii="Arial Narrow" w:eastAsia="Times New Roman" w:hAnsi="Arial Narrow" w:cs="Times New Roman"/>
                <w:color w:val="000000"/>
                <w:lang w:eastAsia="ro-RO"/>
              </w:rPr>
            </w:pPr>
            <w:r>
              <w:rPr>
                <w:rFonts w:ascii="Arial Narrow" w:eastAsia="Times New Roman" w:hAnsi="Arial Narrow" w:cs="Times New Roman"/>
                <w:b/>
                <w:bCs/>
                <w:color w:val="000000"/>
                <w:lang w:eastAsia="ro-RO"/>
              </w:rPr>
              <w:t>fara</w:t>
            </w:r>
            <w:r>
              <w:rPr>
                <w:rFonts w:ascii="Arial Narrow" w:eastAsia="Times New Roman" w:hAnsi="Arial Narrow" w:cs="Times New Roman"/>
                <w:color w:val="000000"/>
                <w:lang w:eastAsia="ro-RO"/>
              </w:rPr>
              <w:t xml:space="preserve"> 15% din pilonul I </w:t>
            </w:r>
            <w:r>
              <w:rPr>
                <w:rFonts w:ascii="Arial Narrow" w:eastAsia="Times New Roman" w:hAnsi="Arial Narrow" w:cs="Times New Roman"/>
                <w:b/>
                <w:color w:val="000000"/>
                <w:lang w:eastAsia="ro-RO"/>
              </w:rPr>
              <w:t>(mld.euro)</w:t>
            </w:r>
          </w:p>
        </w:tc>
        <w:tc>
          <w:tcPr>
            <w:tcW w:w="1428" w:type="dxa"/>
            <w:tcBorders>
              <w:top w:val="nil"/>
              <w:left w:val="nil"/>
              <w:bottom w:val="single" w:sz="4" w:space="0" w:color="auto"/>
              <w:right w:val="single" w:sz="18" w:space="0" w:color="auto"/>
            </w:tcBorders>
            <w:vAlign w:val="center"/>
            <w:hideMark/>
          </w:tcPr>
          <w:p w:rsidR="0096528D" w:rsidRDefault="0096528D">
            <w:pPr>
              <w:spacing w:after="0" w:line="240" w:lineRule="auto"/>
              <w:jc w:val="center"/>
              <w:rPr>
                <w:rFonts w:ascii="Arial Narrow" w:eastAsia="Times New Roman" w:hAnsi="Arial Narrow" w:cs="Times New Roman"/>
                <w:color w:val="000000"/>
                <w:lang w:eastAsia="ro-RO"/>
              </w:rPr>
            </w:pPr>
            <w:r>
              <w:rPr>
                <w:rFonts w:ascii="Arial Narrow" w:eastAsia="Times New Roman" w:hAnsi="Arial Narrow" w:cs="Times New Roman"/>
                <w:b/>
                <w:bCs/>
                <w:color w:val="000000"/>
                <w:lang w:eastAsia="ro-RO"/>
              </w:rPr>
              <w:t>cu</w:t>
            </w:r>
            <w:r>
              <w:rPr>
                <w:rFonts w:ascii="Arial Narrow" w:eastAsia="Times New Roman" w:hAnsi="Arial Narrow" w:cs="Times New Roman"/>
                <w:color w:val="000000"/>
                <w:lang w:eastAsia="ro-RO"/>
              </w:rPr>
              <w:t xml:space="preserve"> 15% din pilonul I </w:t>
            </w:r>
            <w:r>
              <w:rPr>
                <w:rFonts w:ascii="Arial Narrow" w:eastAsia="Times New Roman" w:hAnsi="Arial Narrow" w:cs="Times New Roman"/>
                <w:b/>
                <w:color w:val="000000"/>
                <w:lang w:eastAsia="ro-RO"/>
              </w:rPr>
              <w:t>(mld.euro)</w:t>
            </w:r>
          </w:p>
        </w:tc>
      </w:tr>
      <w:tr w:rsidR="0096528D" w:rsidTr="0096528D">
        <w:trPr>
          <w:trHeight w:val="288"/>
          <w:jc w:val="center"/>
        </w:trPr>
        <w:tc>
          <w:tcPr>
            <w:tcW w:w="3177" w:type="dxa"/>
            <w:tcBorders>
              <w:top w:val="nil"/>
              <w:left w:val="single" w:sz="18" w:space="0" w:color="auto"/>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 xml:space="preserve">Suprafata </w:t>
            </w:r>
          </w:p>
        </w:tc>
        <w:tc>
          <w:tcPr>
            <w:tcW w:w="494"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2,2</w:t>
            </w:r>
          </w:p>
        </w:tc>
        <w:tc>
          <w:tcPr>
            <w:tcW w:w="1463"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4,6</w:t>
            </w:r>
          </w:p>
        </w:tc>
        <w:tc>
          <w:tcPr>
            <w:tcW w:w="1275"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6,2</w:t>
            </w:r>
          </w:p>
        </w:tc>
        <w:tc>
          <w:tcPr>
            <w:tcW w:w="1578"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2,09</w:t>
            </w:r>
          </w:p>
        </w:tc>
        <w:tc>
          <w:tcPr>
            <w:tcW w:w="1428" w:type="dxa"/>
            <w:tcBorders>
              <w:top w:val="nil"/>
              <w:left w:val="nil"/>
              <w:bottom w:val="single" w:sz="4" w:space="0" w:color="auto"/>
              <w:right w:val="single" w:sz="18"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2,82</w:t>
            </w:r>
          </w:p>
        </w:tc>
      </w:tr>
      <w:tr w:rsidR="0096528D" w:rsidTr="0096528D">
        <w:trPr>
          <w:trHeight w:val="288"/>
          <w:jc w:val="center"/>
        </w:trPr>
        <w:tc>
          <w:tcPr>
            <w:tcW w:w="3177" w:type="dxa"/>
            <w:tcBorders>
              <w:top w:val="nil"/>
              <w:left w:val="single" w:sz="18" w:space="0" w:color="auto"/>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 xml:space="preserve">Numar proprietati </w:t>
            </w:r>
          </w:p>
        </w:tc>
        <w:tc>
          <w:tcPr>
            <w:tcW w:w="494"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5,0</w:t>
            </w:r>
          </w:p>
        </w:tc>
        <w:tc>
          <w:tcPr>
            <w:tcW w:w="1463"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4,6</w:t>
            </w:r>
          </w:p>
        </w:tc>
        <w:tc>
          <w:tcPr>
            <w:tcW w:w="1275"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6,2</w:t>
            </w:r>
          </w:p>
        </w:tc>
        <w:tc>
          <w:tcPr>
            <w:tcW w:w="1578"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0,92</w:t>
            </w:r>
          </w:p>
        </w:tc>
        <w:tc>
          <w:tcPr>
            <w:tcW w:w="1428" w:type="dxa"/>
            <w:tcBorders>
              <w:top w:val="single" w:sz="4" w:space="0" w:color="auto"/>
              <w:left w:val="nil"/>
              <w:bottom w:val="single" w:sz="4" w:space="0" w:color="auto"/>
              <w:right w:val="single" w:sz="18" w:space="0" w:color="auto"/>
            </w:tcBorders>
            <w:shd w:val="clear" w:color="auto" w:fill="D99594" w:themeFill="accent2" w:themeFillTint="99"/>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1,24</w:t>
            </w:r>
          </w:p>
        </w:tc>
      </w:tr>
      <w:tr w:rsidR="0096528D" w:rsidTr="0096528D">
        <w:trPr>
          <w:trHeight w:val="288"/>
          <w:jc w:val="center"/>
        </w:trPr>
        <w:tc>
          <w:tcPr>
            <w:tcW w:w="3177" w:type="dxa"/>
            <w:tcBorders>
              <w:top w:val="nil"/>
              <w:left w:val="single" w:sz="18" w:space="0" w:color="auto"/>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Numar de companii</w:t>
            </w:r>
          </w:p>
        </w:tc>
        <w:tc>
          <w:tcPr>
            <w:tcW w:w="494"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1,7</w:t>
            </w:r>
          </w:p>
        </w:tc>
        <w:tc>
          <w:tcPr>
            <w:tcW w:w="1463"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4,6</w:t>
            </w:r>
          </w:p>
        </w:tc>
        <w:tc>
          <w:tcPr>
            <w:tcW w:w="1275"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6,2</w:t>
            </w:r>
          </w:p>
        </w:tc>
        <w:tc>
          <w:tcPr>
            <w:tcW w:w="1578"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2,71</w:t>
            </w:r>
          </w:p>
        </w:tc>
        <w:tc>
          <w:tcPr>
            <w:tcW w:w="1428" w:type="dxa"/>
            <w:tcBorders>
              <w:top w:val="nil"/>
              <w:left w:val="nil"/>
              <w:bottom w:val="single" w:sz="4" w:space="0" w:color="auto"/>
              <w:right w:val="single" w:sz="18"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3,65</w:t>
            </w:r>
          </w:p>
        </w:tc>
      </w:tr>
      <w:tr w:rsidR="0096528D" w:rsidTr="0096528D">
        <w:trPr>
          <w:trHeight w:val="288"/>
          <w:jc w:val="center"/>
        </w:trPr>
        <w:tc>
          <w:tcPr>
            <w:tcW w:w="3177" w:type="dxa"/>
            <w:tcBorders>
              <w:top w:val="nil"/>
              <w:left w:val="single" w:sz="18" w:space="0" w:color="auto"/>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Angajati inregistrati</w:t>
            </w:r>
          </w:p>
        </w:tc>
        <w:tc>
          <w:tcPr>
            <w:tcW w:w="494"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2,0</w:t>
            </w:r>
          </w:p>
        </w:tc>
        <w:tc>
          <w:tcPr>
            <w:tcW w:w="1463"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4,6</w:t>
            </w:r>
          </w:p>
        </w:tc>
        <w:tc>
          <w:tcPr>
            <w:tcW w:w="1275"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6,2</w:t>
            </w:r>
          </w:p>
        </w:tc>
        <w:tc>
          <w:tcPr>
            <w:tcW w:w="1578"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2,30</w:t>
            </w:r>
          </w:p>
        </w:tc>
        <w:tc>
          <w:tcPr>
            <w:tcW w:w="1428" w:type="dxa"/>
            <w:tcBorders>
              <w:top w:val="nil"/>
              <w:left w:val="nil"/>
              <w:bottom w:val="single" w:sz="4" w:space="0" w:color="auto"/>
              <w:right w:val="single" w:sz="18"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3,10</w:t>
            </w:r>
          </w:p>
        </w:tc>
      </w:tr>
      <w:tr w:rsidR="0096528D" w:rsidTr="0096528D">
        <w:trPr>
          <w:trHeight w:val="288"/>
          <w:jc w:val="center"/>
        </w:trPr>
        <w:tc>
          <w:tcPr>
            <w:tcW w:w="3177" w:type="dxa"/>
            <w:tcBorders>
              <w:top w:val="nil"/>
              <w:left w:val="single" w:sz="18" w:space="0" w:color="auto"/>
              <w:bottom w:val="single" w:sz="4"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Ponderea in PIB</w:t>
            </w:r>
          </w:p>
        </w:tc>
        <w:tc>
          <w:tcPr>
            <w:tcW w:w="494"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3,9</w:t>
            </w:r>
          </w:p>
        </w:tc>
        <w:tc>
          <w:tcPr>
            <w:tcW w:w="1463"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4,6</w:t>
            </w:r>
          </w:p>
        </w:tc>
        <w:tc>
          <w:tcPr>
            <w:tcW w:w="1275"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6,2</w:t>
            </w:r>
          </w:p>
        </w:tc>
        <w:tc>
          <w:tcPr>
            <w:tcW w:w="1578" w:type="dxa"/>
            <w:tcBorders>
              <w:top w:val="nil"/>
              <w:left w:val="nil"/>
              <w:bottom w:val="single" w:sz="4"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bookmarkStart w:id="0" w:name="_GoBack"/>
            <w:bookmarkEnd w:id="0"/>
            <w:r>
              <w:rPr>
                <w:rFonts w:ascii="Arial Narrow" w:eastAsia="Times New Roman" w:hAnsi="Arial Narrow" w:cs="Times New Roman"/>
                <w:color w:val="000000"/>
                <w:lang w:eastAsia="ro-RO"/>
              </w:rPr>
              <w:t>1,18</w:t>
            </w:r>
          </w:p>
        </w:tc>
        <w:tc>
          <w:tcPr>
            <w:tcW w:w="1428" w:type="dxa"/>
            <w:tcBorders>
              <w:top w:val="nil"/>
              <w:left w:val="nil"/>
              <w:bottom w:val="single" w:sz="4" w:space="0" w:color="auto"/>
              <w:right w:val="single" w:sz="18"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1,59</w:t>
            </w:r>
          </w:p>
        </w:tc>
      </w:tr>
      <w:tr w:rsidR="0096528D" w:rsidTr="0096528D">
        <w:trPr>
          <w:trHeight w:val="288"/>
          <w:jc w:val="center"/>
        </w:trPr>
        <w:tc>
          <w:tcPr>
            <w:tcW w:w="3177" w:type="dxa"/>
            <w:tcBorders>
              <w:top w:val="nil"/>
              <w:left w:val="single" w:sz="18" w:space="0" w:color="auto"/>
              <w:bottom w:val="single" w:sz="18" w:space="0" w:color="auto"/>
              <w:right w:val="single" w:sz="4" w:space="0" w:color="auto"/>
            </w:tcBorders>
            <w:noWrap/>
            <w:vAlign w:val="bottom"/>
            <w:hideMark/>
          </w:tcPr>
          <w:p w:rsidR="0096528D" w:rsidRDefault="0096528D">
            <w:pPr>
              <w:spacing w:after="0" w:line="240" w:lineRule="auto"/>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Ponderea in Exporturi Nationale</w:t>
            </w:r>
          </w:p>
        </w:tc>
        <w:tc>
          <w:tcPr>
            <w:tcW w:w="494" w:type="dxa"/>
            <w:tcBorders>
              <w:top w:val="nil"/>
              <w:left w:val="nil"/>
              <w:bottom w:val="single" w:sz="18"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1,4</w:t>
            </w:r>
          </w:p>
        </w:tc>
        <w:tc>
          <w:tcPr>
            <w:tcW w:w="1463" w:type="dxa"/>
            <w:tcBorders>
              <w:top w:val="nil"/>
              <w:left w:val="nil"/>
              <w:bottom w:val="single" w:sz="18"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4,6</w:t>
            </w:r>
          </w:p>
        </w:tc>
        <w:tc>
          <w:tcPr>
            <w:tcW w:w="1275" w:type="dxa"/>
            <w:tcBorders>
              <w:top w:val="nil"/>
              <w:left w:val="nil"/>
              <w:bottom w:val="single" w:sz="18" w:space="0" w:color="auto"/>
              <w:right w:val="single" w:sz="4" w:space="0" w:color="auto"/>
            </w:tcBorders>
            <w:noWrap/>
            <w:vAlign w:val="bottom"/>
            <w:hideMark/>
          </w:tcPr>
          <w:p w:rsidR="0096528D" w:rsidRDefault="0096528D">
            <w:pPr>
              <w:spacing w:after="0" w:line="240" w:lineRule="auto"/>
              <w:jc w:val="right"/>
              <w:rPr>
                <w:rFonts w:ascii="Arial Narrow" w:eastAsia="Times New Roman" w:hAnsi="Arial Narrow" w:cs="Times New Roman"/>
                <w:color w:val="000000"/>
                <w:lang w:eastAsia="ro-RO"/>
              </w:rPr>
            </w:pPr>
            <w:r>
              <w:rPr>
                <w:rFonts w:ascii="Arial Narrow" w:eastAsia="Times New Roman" w:hAnsi="Arial Narrow" w:cs="Times New Roman"/>
                <w:color w:val="000000"/>
                <w:lang w:eastAsia="ro-RO"/>
              </w:rPr>
              <w:t>6,2</w:t>
            </w:r>
          </w:p>
        </w:tc>
        <w:tc>
          <w:tcPr>
            <w:tcW w:w="1578" w:type="dxa"/>
            <w:tcBorders>
              <w:top w:val="single" w:sz="4" w:space="0" w:color="auto"/>
              <w:left w:val="nil"/>
              <w:bottom w:val="single" w:sz="18" w:space="0" w:color="auto"/>
              <w:right w:val="single" w:sz="4" w:space="0" w:color="auto"/>
            </w:tcBorders>
            <w:shd w:val="clear" w:color="auto" w:fill="C2D69B" w:themeFill="accent3" w:themeFillTint="99"/>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3,29</w:t>
            </w:r>
          </w:p>
        </w:tc>
        <w:tc>
          <w:tcPr>
            <w:tcW w:w="1428" w:type="dxa"/>
            <w:tcBorders>
              <w:top w:val="single" w:sz="4" w:space="0" w:color="auto"/>
              <w:left w:val="nil"/>
              <w:bottom w:val="single" w:sz="18" w:space="0" w:color="auto"/>
              <w:right w:val="single" w:sz="18" w:space="0" w:color="auto"/>
            </w:tcBorders>
            <w:shd w:val="clear" w:color="auto" w:fill="C2D69B" w:themeFill="accent3" w:themeFillTint="99"/>
            <w:noWrap/>
            <w:vAlign w:val="bottom"/>
            <w:hideMark/>
          </w:tcPr>
          <w:p w:rsidR="0096528D" w:rsidRDefault="0096528D">
            <w:pPr>
              <w:spacing w:after="0" w:line="240" w:lineRule="auto"/>
              <w:jc w:val="right"/>
              <w:rPr>
                <w:rFonts w:ascii="Arial Narrow" w:eastAsia="Times New Roman" w:hAnsi="Arial Narrow" w:cs="Times New Roman"/>
                <w:b/>
                <w:color w:val="000000"/>
                <w:lang w:eastAsia="ro-RO"/>
              </w:rPr>
            </w:pPr>
            <w:r>
              <w:rPr>
                <w:rFonts w:ascii="Arial Narrow" w:eastAsia="Times New Roman" w:hAnsi="Arial Narrow" w:cs="Times New Roman"/>
                <w:b/>
                <w:color w:val="000000"/>
                <w:lang w:eastAsia="ro-RO"/>
              </w:rPr>
              <w:t>4,43</w:t>
            </w:r>
          </w:p>
        </w:tc>
      </w:tr>
    </w:tbl>
    <w:tbl>
      <w:tblPr>
        <w:tblStyle w:val="TableGrid"/>
        <w:tblW w:w="9322" w:type="dxa"/>
        <w:tblInd w:w="0" w:type="dxa"/>
        <w:tblLook w:val="04A0"/>
      </w:tblPr>
      <w:tblGrid>
        <w:gridCol w:w="913"/>
        <w:gridCol w:w="8409"/>
      </w:tblGrid>
      <w:tr w:rsidR="0096528D" w:rsidTr="0096528D">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rsidR="0096528D" w:rsidRDefault="0096528D">
            <w:pPr>
              <w:jc w:val="center"/>
              <w:rPr>
                <w:rFonts w:ascii="Arial Narrow" w:eastAsia="Calibri" w:hAnsi="Arial Narrow" w:cs="Times New Roman"/>
              </w:rPr>
            </w:pPr>
            <w:r>
              <w:rPr>
                <w:rFonts w:ascii="Arial Narrow" w:hAnsi="Arial Narrow" w:cs="Times New Roman"/>
              </w:rPr>
              <w:t>Valoare</w:t>
            </w:r>
          </w:p>
        </w:tc>
        <w:tc>
          <w:tcPr>
            <w:tcW w:w="8409" w:type="dxa"/>
            <w:tcBorders>
              <w:top w:val="nil"/>
              <w:left w:val="single" w:sz="4" w:space="0" w:color="000000" w:themeColor="text1"/>
              <w:bottom w:val="nil"/>
              <w:right w:val="nil"/>
            </w:tcBorders>
            <w:hideMark/>
          </w:tcPr>
          <w:p w:rsidR="0096528D" w:rsidRDefault="0096528D">
            <w:pPr>
              <w:rPr>
                <w:rFonts w:ascii="Arial Narrow" w:eastAsia="Calibri" w:hAnsi="Arial Narrow" w:cs="Times New Roman"/>
              </w:rPr>
            </w:pPr>
            <w:r>
              <w:rPr>
                <w:rFonts w:ascii="Arial Narrow" w:hAnsi="Arial Narrow" w:cs="Times New Roman"/>
              </w:rPr>
              <w:t xml:space="preserve">Alocare </w:t>
            </w:r>
            <w:r>
              <w:rPr>
                <w:rFonts w:ascii="Arial Narrow" w:hAnsi="Arial Narrow" w:cs="Times New Roman"/>
                <w:b/>
              </w:rPr>
              <w:t>minima</w:t>
            </w:r>
            <w:r>
              <w:rPr>
                <w:rFonts w:ascii="Arial Narrow" w:hAnsi="Arial Narrow" w:cs="Times New Roman"/>
              </w:rPr>
              <w:t xml:space="preserve"> sectorului Silvicultura si industria lemnului in baza ponderii in economie</w:t>
            </w:r>
          </w:p>
        </w:tc>
      </w:tr>
      <w:tr w:rsidR="0096528D" w:rsidTr="0096528D">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96528D" w:rsidRDefault="0096528D">
            <w:pPr>
              <w:jc w:val="center"/>
              <w:rPr>
                <w:rFonts w:ascii="Arial Narrow" w:eastAsia="Calibri" w:hAnsi="Arial Narrow" w:cs="Times New Roman"/>
              </w:rPr>
            </w:pPr>
            <w:r>
              <w:rPr>
                <w:rFonts w:ascii="Arial Narrow" w:hAnsi="Arial Narrow" w:cs="Times New Roman"/>
              </w:rPr>
              <w:t>Valoare</w:t>
            </w:r>
          </w:p>
        </w:tc>
        <w:tc>
          <w:tcPr>
            <w:tcW w:w="8409" w:type="dxa"/>
            <w:tcBorders>
              <w:top w:val="nil"/>
              <w:left w:val="single" w:sz="4" w:space="0" w:color="000000" w:themeColor="text1"/>
              <w:bottom w:val="nil"/>
              <w:right w:val="nil"/>
            </w:tcBorders>
            <w:hideMark/>
          </w:tcPr>
          <w:p w:rsidR="0096528D" w:rsidRDefault="0096528D">
            <w:pPr>
              <w:rPr>
                <w:rFonts w:ascii="Arial Narrow" w:eastAsia="Calibri" w:hAnsi="Arial Narrow" w:cs="Times New Roman"/>
              </w:rPr>
            </w:pPr>
            <w:r>
              <w:rPr>
                <w:rFonts w:ascii="Arial Narrow" w:hAnsi="Arial Narrow" w:cs="Times New Roman"/>
              </w:rPr>
              <w:t xml:space="preserve">Alocare </w:t>
            </w:r>
            <w:r>
              <w:rPr>
                <w:rFonts w:ascii="Arial Narrow" w:hAnsi="Arial Narrow" w:cs="Times New Roman"/>
                <w:b/>
              </w:rPr>
              <w:t>maxima</w:t>
            </w:r>
            <w:r>
              <w:rPr>
                <w:rFonts w:ascii="Arial Narrow" w:hAnsi="Arial Narrow" w:cs="Times New Roman"/>
              </w:rPr>
              <w:t xml:space="preserve"> sectorului Silvicultura si industria lemnului in baza ponderii in economie</w:t>
            </w:r>
          </w:p>
        </w:tc>
      </w:tr>
    </w:tbl>
    <w:p w:rsidR="0096528D" w:rsidRDefault="0096528D" w:rsidP="0096528D">
      <w:pPr>
        <w:jc w:val="both"/>
        <w:rPr>
          <w:rFonts w:ascii="Times New Roman" w:eastAsia="Calibri" w:hAnsi="Times New Roman" w:cs="Times New Roman"/>
          <w:b/>
          <w:sz w:val="24"/>
          <w:szCs w:val="24"/>
        </w:rPr>
      </w:pPr>
      <w:r>
        <w:rPr>
          <w:rFonts w:ascii="Times New Roman" w:hAnsi="Times New Roman" w:cs="Times New Roman"/>
          <w:b/>
          <w:sz w:val="24"/>
          <w:szCs w:val="24"/>
        </w:rPr>
        <w:lastRenderedPageBreak/>
        <w:t>II. RAPORTUL BĂNCII MONDIALE</w:t>
      </w:r>
    </w:p>
    <w:p w:rsidR="0096528D" w:rsidRDefault="0096528D" w:rsidP="0096528D">
      <w:pPr>
        <w:jc w:val="both"/>
        <w:rPr>
          <w:rFonts w:ascii="Times New Roman" w:hAnsi="Times New Roman" w:cs="Times New Roman"/>
          <w:sz w:val="24"/>
          <w:szCs w:val="24"/>
        </w:rPr>
      </w:pPr>
      <w:r>
        <w:rPr>
          <w:rFonts w:ascii="Times New Roman" w:hAnsi="Times New Roman" w:cs="Times New Roman"/>
          <w:b/>
          <w:sz w:val="24"/>
          <w:szCs w:val="24"/>
        </w:rPr>
        <w:t xml:space="preserve">Cerințele Uniunii Europene </w:t>
      </w:r>
      <w:r>
        <w:rPr>
          <w:rFonts w:ascii="Times New Roman" w:hAnsi="Times New Roman" w:cs="Times New Roman"/>
          <w:sz w:val="24"/>
          <w:szCs w:val="24"/>
        </w:rPr>
        <w:t>în ceea ce privește alocarea banilor din P.N.D.R. specifică necesitatea ca</w:t>
      </w:r>
      <w:r>
        <w:rPr>
          <w:rFonts w:ascii="Times New Roman" w:hAnsi="Times New Roman" w:cs="Times New Roman"/>
          <w:b/>
          <w:sz w:val="24"/>
          <w:szCs w:val="24"/>
        </w:rPr>
        <w:t xml:space="preserve"> minim 30% din totalul fondurilor să fie destinate combaterii schimbărilor climatice sau adaptării la acestea</w:t>
      </w:r>
      <w:r>
        <w:rPr>
          <w:rFonts w:ascii="Times New Roman" w:hAnsi="Times New Roman" w:cs="Times New Roman"/>
          <w:sz w:val="24"/>
          <w:szCs w:val="24"/>
        </w:rPr>
        <w:t xml:space="preserve">. </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 xml:space="preserve">În vara anului 2013, în cadrul asistenței tehnice pe această temă, acordate Ministerului Mediului și Schimbărilor Climatice de către Banca Internațională de Reconstructie și Dezvoltare, sectorul forestier a fost prezentat ca cel mai eficient din punct de vedere al combaterii efectelor schimbărilor climatice și adaptării la acestea. </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 xml:space="preserve">Din raportul intermediar prezentat de către experții Băncii Mondiale în data de 19 septembrie 2013 a rezultat că toate măsurile propuse a fi implemenate în sectorul forestier prin P.N.D.R. 2014-2020, au eficiență maximă în ceea ce privește schimbările climatice, comparativ cu măsurile specifice sectorului agricol. </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 xml:space="preserve">Același raport a analizat propunerile financiare ale reprezentanților sectorului forestier  pe fiecare măsură și recomandă un nivel mult mai ridicat în ceea ce privește alocările bugetare. </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 xml:space="preserve">De asemenea, a fost subliniat faptul că aceste măsuri pot și trebuie să determine inclusiv recuperarea rămânerilor în urmă semnificative ce se regăsesc în sectorul forestier, sens în care </w:t>
      </w:r>
      <w:r>
        <w:rPr>
          <w:rFonts w:ascii="Times New Roman" w:hAnsi="Times New Roman" w:cs="Times New Roman"/>
          <w:b/>
          <w:sz w:val="24"/>
          <w:szCs w:val="24"/>
        </w:rPr>
        <w:t>următoarele alocări financiare propuse au fost toate considerate INSUFICIENTE</w:t>
      </w:r>
      <w:r>
        <w:rPr>
          <w:rFonts w:ascii="Times New Roman" w:hAnsi="Times New Roman" w:cs="Times New Roman"/>
          <w:sz w:val="24"/>
          <w:szCs w:val="24"/>
        </w:rPr>
        <w:t>:</w:t>
      </w:r>
    </w:p>
    <w:p w:rsidR="0096528D" w:rsidRDefault="0096528D" w:rsidP="0096528D">
      <w:pPr>
        <w:pStyle w:val="ListParagraph"/>
        <w:numPr>
          <w:ilvl w:val="3"/>
          <w:numId w:val="1"/>
        </w:numPr>
        <w:ind w:left="360" w:right="720" w:firstLine="0"/>
        <w:jc w:val="both"/>
        <w:rPr>
          <w:rFonts w:ascii="Times New Roman" w:hAnsi="Times New Roman" w:cs="Times New Roman"/>
          <w:sz w:val="24"/>
          <w:szCs w:val="24"/>
        </w:rPr>
      </w:pPr>
      <w:r>
        <w:rPr>
          <w:rFonts w:ascii="Times New Roman" w:hAnsi="Times New Roman" w:cs="Times New Roman"/>
          <w:sz w:val="24"/>
          <w:szCs w:val="24"/>
        </w:rPr>
        <w:t xml:space="preserve">Accesibilitatea fondului forestier (infrastructură, drumuri forestiere)  - </w:t>
      </w:r>
      <w:r>
        <w:rPr>
          <w:rFonts w:ascii="Times New Roman" w:hAnsi="Times New Roman" w:cs="Times New Roman"/>
          <w:b/>
          <w:sz w:val="24"/>
          <w:szCs w:val="24"/>
        </w:rPr>
        <w:t>700 milioane EUR</w:t>
      </w:r>
      <w:r>
        <w:rPr>
          <w:rFonts w:ascii="Times New Roman" w:hAnsi="Times New Roman" w:cs="Times New Roman"/>
          <w:sz w:val="24"/>
          <w:szCs w:val="24"/>
        </w:rPr>
        <w:t>, ;</w:t>
      </w:r>
    </w:p>
    <w:p w:rsidR="0096528D" w:rsidRDefault="0096528D" w:rsidP="0096528D">
      <w:pPr>
        <w:pStyle w:val="ListParagraph"/>
        <w:numPr>
          <w:ilvl w:val="3"/>
          <w:numId w:val="1"/>
        </w:numPr>
        <w:ind w:left="360" w:right="720" w:firstLine="0"/>
        <w:jc w:val="both"/>
        <w:rPr>
          <w:rFonts w:ascii="Times New Roman" w:hAnsi="Times New Roman" w:cs="Times New Roman"/>
          <w:b/>
          <w:sz w:val="24"/>
          <w:szCs w:val="24"/>
        </w:rPr>
      </w:pPr>
      <w:r>
        <w:rPr>
          <w:rFonts w:ascii="Times New Roman" w:hAnsi="Times New Roman" w:cs="Times New Roman"/>
          <w:sz w:val="24"/>
          <w:szCs w:val="24"/>
        </w:rPr>
        <w:t xml:space="preserve">Împădurirea terenurilor degradate și agricole, inclusiv perdelele forestiere de protecție - </w:t>
      </w:r>
      <w:r>
        <w:rPr>
          <w:rFonts w:ascii="Times New Roman" w:hAnsi="Times New Roman" w:cs="Times New Roman"/>
          <w:b/>
          <w:sz w:val="24"/>
          <w:szCs w:val="24"/>
        </w:rPr>
        <w:t>500 mil EUR</w:t>
      </w:r>
      <w:r>
        <w:rPr>
          <w:rFonts w:ascii="Times New Roman" w:hAnsi="Times New Roman" w:cs="Times New Roman"/>
          <w:sz w:val="24"/>
          <w:szCs w:val="24"/>
        </w:rPr>
        <w:t>;</w:t>
      </w:r>
    </w:p>
    <w:p w:rsidR="0096528D" w:rsidRDefault="0096528D" w:rsidP="0096528D">
      <w:pPr>
        <w:pStyle w:val="ListParagraph"/>
        <w:numPr>
          <w:ilvl w:val="3"/>
          <w:numId w:val="1"/>
        </w:numPr>
        <w:ind w:left="360" w:right="720" w:firstLine="0"/>
        <w:jc w:val="both"/>
        <w:rPr>
          <w:rFonts w:ascii="Times New Roman" w:hAnsi="Times New Roman" w:cs="Times New Roman"/>
          <w:b/>
          <w:sz w:val="24"/>
          <w:szCs w:val="24"/>
        </w:rPr>
      </w:pPr>
      <w:r>
        <w:rPr>
          <w:rFonts w:ascii="Times New Roman" w:hAnsi="Times New Roman" w:cs="Times New Roman"/>
          <w:sz w:val="24"/>
          <w:szCs w:val="24"/>
        </w:rPr>
        <w:t xml:space="preserve">Investiții în tehnologii de exploatare și procesare a lemnului care să fie prietenoase cu mediul și eficiente economic - </w:t>
      </w:r>
      <w:r>
        <w:rPr>
          <w:rFonts w:ascii="Times New Roman" w:hAnsi="Times New Roman" w:cs="Times New Roman"/>
          <w:b/>
          <w:sz w:val="24"/>
          <w:szCs w:val="24"/>
        </w:rPr>
        <w:t>300 milioane EUR</w:t>
      </w:r>
      <w:r>
        <w:rPr>
          <w:rFonts w:ascii="Times New Roman" w:hAnsi="Times New Roman" w:cs="Times New Roman"/>
          <w:sz w:val="24"/>
          <w:szCs w:val="24"/>
        </w:rPr>
        <w:t>;</w:t>
      </w:r>
    </w:p>
    <w:p w:rsidR="0096528D" w:rsidRDefault="0096528D" w:rsidP="0096528D">
      <w:pPr>
        <w:pStyle w:val="ListParagraph"/>
        <w:numPr>
          <w:ilvl w:val="3"/>
          <w:numId w:val="1"/>
        </w:numPr>
        <w:ind w:left="360" w:right="720" w:firstLine="0"/>
        <w:jc w:val="both"/>
        <w:rPr>
          <w:rFonts w:ascii="Times New Roman" w:hAnsi="Times New Roman" w:cs="Times New Roman"/>
          <w:b/>
          <w:sz w:val="24"/>
          <w:szCs w:val="24"/>
        </w:rPr>
      </w:pPr>
      <w:r>
        <w:rPr>
          <w:rFonts w:ascii="Times New Roman" w:hAnsi="Times New Roman" w:cs="Times New Roman"/>
          <w:sz w:val="24"/>
          <w:szCs w:val="24"/>
        </w:rPr>
        <w:t xml:space="preserve">Compensații pentru restricțiile  de natură economică impuse deținătorilor de păduri - </w:t>
      </w:r>
      <w:r>
        <w:rPr>
          <w:rFonts w:ascii="Times New Roman" w:hAnsi="Times New Roman" w:cs="Times New Roman"/>
          <w:b/>
          <w:sz w:val="24"/>
          <w:szCs w:val="24"/>
        </w:rPr>
        <w:t>250 milioane EUR</w:t>
      </w:r>
      <w:r>
        <w:rPr>
          <w:rFonts w:ascii="Times New Roman" w:hAnsi="Times New Roman" w:cs="Times New Roman"/>
          <w:sz w:val="24"/>
          <w:szCs w:val="24"/>
        </w:rPr>
        <w:t>;</w:t>
      </w:r>
    </w:p>
    <w:p w:rsidR="0096528D" w:rsidRDefault="0096528D" w:rsidP="0096528D">
      <w:pPr>
        <w:pStyle w:val="ListParagraph"/>
        <w:numPr>
          <w:ilvl w:val="3"/>
          <w:numId w:val="1"/>
        </w:numPr>
        <w:ind w:left="360" w:right="720" w:firstLine="0"/>
        <w:jc w:val="both"/>
        <w:rPr>
          <w:rFonts w:ascii="Times New Roman" w:hAnsi="Times New Roman" w:cs="Times New Roman"/>
          <w:b/>
          <w:sz w:val="24"/>
          <w:szCs w:val="24"/>
        </w:rPr>
      </w:pPr>
      <w:r>
        <w:rPr>
          <w:rFonts w:ascii="Times New Roman" w:hAnsi="Times New Roman" w:cs="Times New Roman"/>
          <w:sz w:val="24"/>
          <w:szCs w:val="24"/>
        </w:rPr>
        <w:t xml:space="preserve">Instruirea proprietarilor de păduri si a personalului silvic/consultanță de specialitate pentru aceștia - </w:t>
      </w:r>
      <w:r>
        <w:rPr>
          <w:rFonts w:ascii="Times New Roman" w:hAnsi="Times New Roman" w:cs="Times New Roman"/>
          <w:b/>
          <w:sz w:val="24"/>
          <w:szCs w:val="24"/>
        </w:rPr>
        <w:t>70 milioane EUR</w:t>
      </w:r>
      <w:r>
        <w:rPr>
          <w:rFonts w:ascii="Times New Roman" w:hAnsi="Times New Roman" w:cs="Times New Roman"/>
          <w:sz w:val="24"/>
          <w:szCs w:val="24"/>
        </w:rPr>
        <w:t>;</w:t>
      </w:r>
    </w:p>
    <w:p w:rsidR="0096528D" w:rsidRDefault="0096528D" w:rsidP="0096528D">
      <w:pPr>
        <w:pStyle w:val="ListParagraph"/>
        <w:numPr>
          <w:ilvl w:val="3"/>
          <w:numId w:val="1"/>
        </w:numPr>
        <w:ind w:left="360" w:right="720" w:firstLine="0"/>
        <w:jc w:val="both"/>
        <w:rPr>
          <w:rFonts w:ascii="Times New Roman" w:hAnsi="Times New Roman" w:cs="Times New Roman"/>
          <w:b/>
          <w:sz w:val="24"/>
          <w:szCs w:val="24"/>
        </w:rPr>
      </w:pPr>
      <w:r>
        <w:rPr>
          <w:rFonts w:ascii="Times New Roman" w:hAnsi="Times New Roman" w:cs="Times New Roman"/>
          <w:sz w:val="24"/>
          <w:szCs w:val="24"/>
        </w:rPr>
        <w:t xml:space="preserve">Sprijin pentru organizarea lanțurilor de producție și marketing în silvicultură – </w:t>
      </w:r>
      <w:r>
        <w:rPr>
          <w:rFonts w:ascii="Times New Roman" w:hAnsi="Times New Roman" w:cs="Times New Roman"/>
          <w:b/>
          <w:sz w:val="24"/>
          <w:szCs w:val="24"/>
        </w:rPr>
        <w:t>50 milionae EUR</w:t>
      </w:r>
      <w:r>
        <w:rPr>
          <w:rFonts w:ascii="Times New Roman" w:hAnsi="Times New Roman" w:cs="Times New Roman"/>
          <w:sz w:val="24"/>
          <w:szCs w:val="24"/>
        </w:rPr>
        <w:t>;</w:t>
      </w:r>
    </w:p>
    <w:p w:rsidR="0096528D" w:rsidRDefault="0096528D" w:rsidP="0096528D">
      <w:pPr>
        <w:pStyle w:val="ListParagraph"/>
        <w:numPr>
          <w:ilvl w:val="3"/>
          <w:numId w:val="1"/>
        </w:numPr>
        <w:ind w:left="360" w:right="720" w:firstLine="0"/>
        <w:jc w:val="both"/>
        <w:rPr>
          <w:rFonts w:ascii="Times New Roman" w:hAnsi="Times New Roman" w:cs="Times New Roman"/>
          <w:b/>
          <w:sz w:val="24"/>
          <w:szCs w:val="24"/>
        </w:rPr>
      </w:pPr>
      <w:r>
        <w:rPr>
          <w:rFonts w:ascii="Times New Roman" w:hAnsi="Times New Roman" w:cs="Times New Roman"/>
          <w:sz w:val="24"/>
          <w:szCs w:val="24"/>
        </w:rPr>
        <w:t xml:space="preserve">Asigurări și fonduri mutuale pentru sectorul silvic – </w:t>
      </w:r>
      <w:r>
        <w:rPr>
          <w:rFonts w:ascii="Times New Roman" w:hAnsi="Times New Roman" w:cs="Times New Roman"/>
          <w:b/>
          <w:sz w:val="24"/>
          <w:szCs w:val="24"/>
        </w:rPr>
        <w:t>45 milioane EUR</w:t>
      </w:r>
      <w:r>
        <w:rPr>
          <w:rFonts w:ascii="Times New Roman" w:hAnsi="Times New Roman" w:cs="Times New Roman"/>
          <w:sz w:val="24"/>
          <w:szCs w:val="24"/>
        </w:rPr>
        <w:t>.</w:t>
      </w:r>
    </w:p>
    <w:p w:rsidR="0096528D" w:rsidRDefault="0096528D" w:rsidP="0096528D">
      <w:pPr>
        <w:pStyle w:val="ListParagraph"/>
        <w:numPr>
          <w:ilvl w:val="3"/>
          <w:numId w:val="1"/>
        </w:numPr>
        <w:ind w:left="360" w:right="720" w:firstLine="0"/>
        <w:jc w:val="both"/>
        <w:rPr>
          <w:rFonts w:ascii="Times New Roman" w:hAnsi="Times New Roman" w:cs="Times New Roman"/>
          <w:b/>
          <w:sz w:val="24"/>
          <w:szCs w:val="24"/>
        </w:rPr>
      </w:pPr>
      <w:r>
        <w:rPr>
          <w:rFonts w:ascii="Times New Roman" w:hAnsi="Times New Roman" w:cs="Times New Roman"/>
          <w:sz w:val="24"/>
          <w:szCs w:val="24"/>
        </w:rPr>
        <w:t xml:space="preserve">Cercetare și inovare – </w:t>
      </w:r>
      <w:r>
        <w:rPr>
          <w:rFonts w:ascii="Times New Roman" w:hAnsi="Times New Roman" w:cs="Times New Roman"/>
          <w:b/>
          <w:sz w:val="24"/>
          <w:szCs w:val="24"/>
        </w:rPr>
        <w:t>15 milioane EUR</w:t>
      </w:r>
      <w:r>
        <w:rPr>
          <w:rFonts w:ascii="Times New Roman" w:hAnsi="Times New Roman" w:cs="Times New Roman"/>
          <w:sz w:val="24"/>
          <w:szCs w:val="24"/>
        </w:rPr>
        <w:t>;</w:t>
      </w:r>
    </w:p>
    <w:p w:rsidR="0096528D" w:rsidRDefault="0096528D" w:rsidP="0096528D">
      <w:pPr>
        <w:tabs>
          <w:tab w:val="left" w:pos="9360"/>
        </w:tabs>
        <w:jc w:val="both"/>
        <w:rPr>
          <w:rFonts w:ascii="Times New Roman" w:hAnsi="Times New Roman" w:cs="Times New Roman"/>
          <w:sz w:val="24"/>
          <w:szCs w:val="24"/>
          <w:lang w:val="ro-RO"/>
        </w:rPr>
      </w:pPr>
      <w:r>
        <w:rPr>
          <w:rFonts w:ascii="Times New Roman" w:hAnsi="Times New Roman" w:cs="Times New Roman"/>
          <w:sz w:val="24"/>
          <w:szCs w:val="24"/>
        </w:rPr>
        <w:t>CONCLUZIE</w:t>
      </w:r>
      <w:r>
        <w:rPr>
          <w:rFonts w:ascii="Times New Roman" w:hAnsi="Times New Roman" w:cs="Times New Roman"/>
          <w:sz w:val="24"/>
          <w:szCs w:val="24"/>
          <w:lang w:val="ro-RO"/>
        </w:rPr>
        <w:t xml:space="preserve">: SUMA DE </w:t>
      </w:r>
      <w:r>
        <w:rPr>
          <w:rFonts w:ascii="Times New Roman" w:hAnsi="Times New Roman" w:cs="Times New Roman"/>
          <w:b/>
          <w:sz w:val="24"/>
          <w:szCs w:val="24"/>
          <w:lang w:val="ro-RO"/>
        </w:rPr>
        <w:t>1,93 MILIARDE EURO</w:t>
      </w:r>
      <w:r>
        <w:rPr>
          <w:rFonts w:ascii="Times New Roman" w:hAnsi="Times New Roman" w:cs="Times New Roman"/>
          <w:sz w:val="24"/>
          <w:szCs w:val="24"/>
          <w:lang w:val="ro-RO"/>
        </w:rPr>
        <w:t xml:space="preserve"> DIN PILONUL I AL P.N.D.R. </w:t>
      </w:r>
      <w:r>
        <w:rPr>
          <w:rFonts w:ascii="Times New Roman" w:hAnsi="Times New Roman" w:cs="Times New Roman"/>
          <w:b/>
          <w:sz w:val="24"/>
          <w:szCs w:val="24"/>
          <w:lang w:val="ro-RO"/>
        </w:rPr>
        <w:t>ESTE INSUFICIENTĂ</w:t>
      </w:r>
      <w:r>
        <w:rPr>
          <w:rFonts w:ascii="Times New Roman" w:hAnsi="Times New Roman" w:cs="Times New Roman"/>
          <w:sz w:val="24"/>
          <w:szCs w:val="24"/>
          <w:lang w:val="ro-RO"/>
        </w:rPr>
        <w:t xml:space="preserve"> PENTRU IMPLEMENTAREA MĂSURILOR ÎN SECTORUL FORESTIER.</w:t>
      </w:r>
    </w:p>
    <w:p w:rsidR="0096528D" w:rsidRDefault="0096528D" w:rsidP="0096528D">
      <w:pPr>
        <w:jc w:val="both"/>
        <w:rPr>
          <w:rFonts w:ascii="Times New Roman" w:hAnsi="Times New Roman" w:cs="Times New Roman"/>
          <w:b/>
          <w:sz w:val="24"/>
          <w:szCs w:val="24"/>
        </w:rPr>
      </w:pPr>
    </w:p>
    <w:p w:rsidR="0096528D" w:rsidRDefault="0096528D" w:rsidP="0096528D">
      <w:pPr>
        <w:jc w:val="both"/>
        <w:rPr>
          <w:rFonts w:ascii="Times New Roman" w:hAnsi="Times New Roman" w:cs="Times New Roman"/>
          <w:b/>
          <w:sz w:val="24"/>
          <w:szCs w:val="24"/>
        </w:rPr>
      </w:pPr>
      <w:r>
        <w:rPr>
          <w:rFonts w:ascii="Times New Roman" w:hAnsi="Times New Roman" w:cs="Times New Roman"/>
          <w:b/>
          <w:sz w:val="24"/>
          <w:szCs w:val="24"/>
        </w:rPr>
        <w:lastRenderedPageBreak/>
        <w:t>III. SUPRAIMPOZITAREA, SUPRATAXAREA ŞI DISTRIBUŢIA PRIN LEGE A VENITURILOR PROPRIETARILOR DE PĂDURI</w:t>
      </w:r>
    </w:p>
    <w:p w:rsidR="0096528D" w:rsidRDefault="0096528D" w:rsidP="0096528D">
      <w:pPr>
        <w:jc w:val="both"/>
        <w:rPr>
          <w:rFonts w:ascii="Times New Roman" w:hAnsi="Times New Roman" w:cs="Times New Roman"/>
          <w:sz w:val="24"/>
          <w:szCs w:val="24"/>
        </w:rPr>
      </w:pPr>
      <w:r>
        <w:rPr>
          <w:rFonts w:ascii="Times New Roman" w:hAnsi="Times New Roman" w:cs="Times New Roman"/>
          <w:i/>
          <w:sz w:val="24"/>
          <w:szCs w:val="24"/>
        </w:rPr>
        <w:t xml:space="preserve">Un  procent de minim 83% din veniturile proprietarilor de pădure se pierd prin supraimpozitare și cheltuieli de gospodărire a pădurilor, iar acest procent poate atinge pragul de 114%! </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Vă prezentăm în secțiunea ce urmează impozitele și cheltuielile care determină tot mai mulți proprietari să-și vândă pădurile:</w:t>
      </w:r>
    </w:p>
    <w:p w:rsidR="0096528D" w:rsidRDefault="0096528D" w:rsidP="0096528D">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impozitul pe terenul forestier </w:t>
      </w:r>
      <w:r>
        <w:rPr>
          <w:rFonts w:ascii="Times New Roman" w:hAnsi="Times New Roman" w:cs="Times New Roman"/>
          <w:bCs/>
          <w:sz w:val="24"/>
          <w:szCs w:val="24"/>
        </w:rPr>
        <w:t>intravilan</w:t>
      </w:r>
      <w:r>
        <w:rPr>
          <w:rFonts w:ascii="Times New Roman" w:hAnsi="Times New Roman" w:cs="Times New Roman"/>
          <w:b/>
          <w:bCs/>
          <w:sz w:val="24"/>
          <w:szCs w:val="24"/>
        </w:rPr>
        <w:t xml:space="preserve"> </w:t>
      </w:r>
      <w:r>
        <w:rPr>
          <w:rFonts w:ascii="Times New Roman" w:hAnsi="Times New Roman" w:cs="Times New Roman"/>
          <w:sz w:val="24"/>
          <w:szCs w:val="24"/>
        </w:rPr>
        <w:t>este între 13, 16, 18 sau 24 lei pe hectar, iar prin aplicarea coeficienţilor de corecţie poate ajunge la un maxim de 104, 128, 144 sau 192 lei pe hectar;</w:t>
      </w:r>
    </w:p>
    <w:p w:rsidR="0096528D" w:rsidRDefault="0096528D" w:rsidP="0096528D">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impozitul pe terenul forestier </w:t>
      </w:r>
      <w:r>
        <w:rPr>
          <w:rFonts w:ascii="Times New Roman" w:hAnsi="Times New Roman" w:cs="Times New Roman"/>
          <w:bCs/>
          <w:sz w:val="24"/>
          <w:szCs w:val="24"/>
        </w:rPr>
        <w:t>extravilan</w:t>
      </w:r>
      <w:r>
        <w:rPr>
          <w:rFonts w:ascii="Times New Roman" w:hAnsi="Times New Roman" w:cs="Times New Roman"/>
          <w:sz w:val="24"/>
          <w:szCs w:val="24"/>
        </w:rPr>
        <w:t xml:space="preserve"> este între 7, 10, 12 sau 14 lei pe hectar, iar prin aplicarea coeficienţilor de corecţie poate ajunge la un maxim de 56, 80, 96 sau 112 lei pe hectar;</w:t>
      </w:r>
    </w:p>
    <w:p w:rsidR="0096528D" w:rsidRDefault="0096528D" w:rsidP="0096528D">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16% impozit pentru veniturile din silvicultură;</w:t>
      </w:r>
    </w:p>
    <w:p w:rsidR="0096528D" w:rsidRDefault="0096528D" w:rsidP="0096528D">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10,5% contribuţii de asigurări sociale de sănătate şi alte contribuţii de asigurări sociale;</w:t>
      </w:r>
    </w:p>
    <w:p w:rsidR="0096528D" w:rsidRDefault="0096528D" w:rsidP="0096528D">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0,5% pentru exploatarea resurselor naturale;</w:t>
      </w:r>
    </w:p>
    <w:p w:rsidR="0096528D" w:rsidRDefault="0096528D" w:rsidP="0096528D">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2% taxă pentru fondul de mediu (cu excepţia lemnelor de foc);</w:t>
      </w:r>
    </w:p>
    <w:p w:rsidR="0096528D" w:rsidRDefault="0096528D" w:rsidP="0096528D">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15-25% fond de conservare şi regenerare a pădurilor;</w:t>
      </w:r>
    </w:p>
    <w:p w:rsidR="0096528D" w:rsidRDefault="0096528D" w:rsidP="0096528D">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între 44 lei/an şi 150 lei pe an/ha (inclusiv TVA) taxe pentru servicii silvice/administrare/pază; </w:t>
      </w:r>
    </w:p>
    <w:p w:rsidR="0096528D" w:rsidRDefault="0096528D" w:rsidP="0096528D">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între 5 euro/ha – suprafețe mai mari de 500 ha și 20 euro/ha – suprafețe mai mici de 500 ha pentru lucrări de amenajare (proiectare silvică), care se execută din 10 in 10 ani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96528D" w:rsidRDefault="0096528D" w:rsidP="0096528D">
      <w:pPr>
        <w:pStyle w:val="ListParagraph"/>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alte cheltuieli specifice administrării pădurii (puneri în valoare, documentaţii tehnice pentru regenerarea pădurilor, cheltuieli de protecţie a pădurilor etc).</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Însumând cotele prevăzute de lege ajungem la un procent de 44-54%, la care se adaugă impozitul pe teren şi taxele de servicii silvice, pază şi administrare.</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Creşterea medie pentru pădurile din România este de 4-6 mc/an/hectar la munte și 3-4 mc/an/ha la câmpie, din care se poate exploata un procent de maxim 85%</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Valoarea medie de referinţă pentru masă lemnoasă este de 85 lei/mc + TVA, respectiv 105,4 lei cu TVA inclus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Un simplu calcul demonstrează că, în cea mai bună variantă, se obțin venituri între 340 şi 510 lei pe an și pe hectar, iar în zonele de câmpie rezultă un venit mediu de 316 lei (TVA inclus).</w:t>
      </w:r>
    </w:p>
    <w:p w:rsidR="0096528D" w:rsidRDefault="0096528D" w:rsidP="0096528D">
      <w:pPr>
        <w:jc w:val="both"/>
        <w:rPr>
          <w:rFonts w:ascii="Times New Roman" w:hAnsi="Times New Roman" w:cs="Times New Roman"/>
          <w:sz w:val="24"/>
          <w:szCs w:val="24"/>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553"/>
        <w:gridCol w:w="2554"/>
        <w:gridCol w:w="3120"/>
      </w:tblGrid>
      <w:tr w:rsidR="0096528D" w:rsidTr="0096528D">
        <w:tc>
          <w:tcPr>
            <w:tcW w:w="1418" w:type="dxa"/>
            <w:tcBorders>
              <w:top w:val="nil"/>
              <w:left w:val="nil"/>
              <w:bottom w:val="single" w:sz="4" w:space="0" w:color="000000"/>
              <w:right w:val="single" w:sz="4" w:space="0" w:color="000000"/>
            </w:tcBorders>
          </w:tcPr>
          <w:p w:rsidR="0096528D" w:rsidRDefault="0096528D">
            <w:pPr>
              <w:spacing w:after="0" w:line="240" w:lineRule="auto"/>
              <w:jc w:val="center"/>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Venit minim an/ha raportat la cheltuieli</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venit maxim an/ha raportat la cheltuieli</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taxe şi impozite</w:t>
            </w:r>
          </w:p>
        </w:tc>
      </w:tr>
      <w:tr w:rsidR="0096528D" w:rsidTr="0096528D">
        <w:tc>
          <w:tcPr>
            <w:tcW w:w="14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b/>
                <w:bCs/>
                <w:sz w:val="24"/>
                <w:szCs w:val="24"/>
              </w:rPr>
            </w:pPr>
            <w:r>
              <w:rPr>
                <w:rFonts w:ascii="Times New Roman" w:hAnsi="Times New Roman" w:cs="Times New Roman"/>
                <w:b/>
                <w:bCs/>
                <w:sz w:val="24"/>
                <w:szCs w:val="24"/>
              </w:rPr>
              <w:t>Venituri</w:t>
            </w: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340 lei</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510 lei</w:t>
            </w:r>
          </w:p>
        </w:tc>
        <w:tc>
          <w:tcPr>
            <w:tcW w:w="3118" w:type="dxa"/>
            <w:tcBorders>
              <w:top w:val="single" w:sz="4" w:space="0" w:color="000000"/>
              <w:left w:val="single" w:sz="4" w:space="0" w:color="000000"/>
              <w:bottom w:val="single" w:sz="4" w:space="0" w:color="000000"/>
              <w:right w:val="single" w:sz="4" w:space="0" w:color="000000"/>
            </w:tcBorders>
          </w:tcPr>
          <w:p w:rsidR="0096528D" w:rsidRDefault="0096528D">
            <w:pPr>
              <w:spacing w:after="0" w:line="240" w:lineRule="auto"/>
              <w:jc w:val="center"/>
              <w:rPr>
                <w:rFonts w:ascii="Times New Roman" w:eastAsia="Calibri" w:hAnsi="Times New Roman" w:cs="Times New Roman"/>
                <w:sz w:val="24"/>
                <w:szCs w:val="24"/>
              </w:rPr>
            </w:pPr>
          </w:p>
        </w:tc>
      </w:tr>
      <w:tr w:rsidR="0096528D" w:rsidTr="0096528D">
        <w:tc>
          <w:tcPr>
            <w:tcW w:w="14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b/>
                <w:bCs/>
                <w:sz w:val="24"/>
                <w:szCs w:val="24"/>
              </w:rPr>
            </w:pPr>
            <w:r>
              <w:rPr>
                <w:rFonts w:ascii="Times New Roman" w:hAnsi="Times New Roman" w:cs="Times New Roman"/>
                <w:b/>
                <w:bCs/>
                <w:sz w:val="24"/>
                <w:szCs w:val="24"/>
              </w:rPr>
              <w:t>Cheltuieli</w:t>
            </w: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63 lei</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63 lei</w:t>
            </w:r>
          </w:p>
        </w:tc>
        <w:tc>
          <w:tcPr>
            <w:tcW w:w="31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impozit pe teren (mediu)</w:t>
            </w:r>
          </w:p>
        </w:tc>
      </w:tr>
      <w:tr w:rsidR="0096528D" w:rsidTr="0096528D">
        <w:tc>
          <w:tcPr>
            <w:tcW w:w="1418" w:type="dxa"/>
            <w:vMerge w:val="restart"/>
            <w:tcBorders>
              <w:top w:val="single" w:sz="4" w:space="0" w:color="000000"/>
              <w:left w:val="nil"/>
              <w:bottom w:val="nil"/>
              <w:right w:val="single" w:sz="4" w:space="0" w:color="000000"/>
            </w:tcBorders>
          </w:tcPr>
          <w:p w:rsidR="0096528D" w:rsidRDefault="0096528D">
            <w:pPr>
              <w:spacing w:after="0" w:line="240" w:lineRule="auto"/>
              <w:jc w:val="center"/>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35,7 lei</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53,55 lei</w:t>
            </w:r>
          </w:p>
        </w:tc>
        <w:tc>
          <w:tcPr>
            <w:tcW w:w="31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contribuţii sociale</w:t>
            </w:r>
          </w:p>
        </w:tc>
      </w:tr>
      <w:tr w:rsidR="0096528D" w:rsidTr="0096528D">
        <w:tc>
          <w:tcPr>
            <w:tcW w:w="1418" w:type="dxa"/>
            <w:vMerge/>
            <w:tcBorders>
              <w:top w:val="single" w:sz="4" w:space="0" w:color="000000"/>
              <w:left w:val="nil"/>
              <w:bottom w:val="nil"/>
              <w:right w:val="single" w:sz="4" w:space="0" w:color="000000"/>
            </w:tcBorders>
            <w:vAlign w:val="center"/>
            <w:hideMark/>
          </w:tcPr>
          <w:p w:rsidR="0096528D" w:rsidRDefault="0096528D">
            <w:pPr>
              <w:spacing w:after="0" w:line="240" w:lineRule="auto"/>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1,7 lei</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2,55 lei</w:t>
            </w:r>
          </w:p>
        </w:tc>
        <w:tc>
          <w:tcPr>
            <w:tcW w:w="31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exploatare resure naturale</w:t>
            </w:r>
          </w:p>
        </w:tc>
      </w:tr>
      <w:tr w:rsidR="0096528D" w:rsidTr="0096528D">
        <w:tc>
          <w:tcPr>
            <w:tcW w:w="1418" w:type="dxa"/>
            <w:vMerge/>
            <w:tcBorders>
              <w:top w:val="single" w:sz="4" w:space="0" w:color="000000"/>
              <w:left w:val="nil"/>
              <w:bottom w:val="nil"/>
              <w:right w:val="single" w:sz="4" w:space="0" w:color="000000"/>
            </w:tcBorders>
            <w:vAlign w:val="center"/>
            <w:hideMark/>
          </w:tcPr>
          <w:p w:rsidR="0096528D" w:rsidRDefault="0096528D">
            <w:pPr>
              <w:spacing w:after="0" w:line="240" w:lineRule="auto"/>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6,8 lei</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10,2 lei</w:t>
            </w:r>
          </w:p>
        </w:tc>
        <w:tc>
          <w:tcPr>
            <w:tcW w:w="31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fondul de mediu</w:t>
            </w:r>
          </w:p>
        </w:tc>
      </w:tr>
      <w:tr w:rsidR="0096528D" w:rsidTr="0096528D">
        <w:tc>
          <w:tcPr>
            <w:tcW w:w="1418" w:type="dxa"/>
            <w:vMerge/>
            <w:tcBorders>
              <w:top w:val="single" w:sz="4" w:space="0" w:color="000000"/>
              <w:left w:val="nil"/>
              <w:bottom w:val="nil"/>
              <w:right w:val="single" w:sz="4" w:space="0" w:color="000000"/>
            </w:tcBorders>
            <w:vAlign w:val="center"/>
            <w:hideMark/>
          </w:tcPr>
          <w:p w:rsidR="0096528D" w:rsidRDefault="0096528D">
            <w:pPr>
              <w:spacing w:after="0" w:line="240" w:lineRule="auto"/>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54,4 lei</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81,6</w:t>
            </w:r>
          </w:p>
        </w:tc>
        <w:tc>
          <w:tcPr>
            <w:tcW w:w="31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impozitul pe venit</w:t>
            </w:r>
          </w:p>
        </w:tc>
      </w:tr>
      <w:tr w:rsidR="0096528D" w:rsidTr="0096528D">
        <w:tc>
          <w:tcPr>
            <w:tcW w:w="1418" w:type="dxa"/>
            <w:vMerge/>
            <w:tcBorders>
              <w:top w:val="single" w:sz="4" w:space="0" w:color="000000"/>
              <w:left w:val="nil"/>
              <w:bottom w:val="nil"/>
              <w:right w:val="single" w:sz="4" w:space="0" w:color="000000"/>
            </w:tcBorders>
            <w:vAlign w:val="center"/>
            <w:hideMark/>
          </w:tcPr>
          <w:p w:rsidR="0096528D" w:rsidRDefault="0096528D">
            <w:pPr>
              <w:spacing w:after="0" w:line="240" w:lineRule="auto"/>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68 lei</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102 lei</w:t>
            </w:r>
          </w:p>
        </w:tc>
        <w:tc>
          <w:tcPr>
            <w:tcW w:w="31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fond ce conservare (mediu)</w:t>
            </w:r>
          </w:p>
        </w:tc>
      </w:tr>
      <w:tr w:rsidR="0096528D" w:rsidTr="0096528D">
        <w:tc>
          <w:tcPr>
            <w:tcW w:w="1418" w:type="dxa"/>
            <w:vMerge w:val="restart"/>
            <w:tcBorders>
              <w:top w:val="nil"/>
              <w:left w:val="nil"/>
              <w:bottom w:val="single" w:sz="4" w:space="0" w:color="000000"/>
              <w:right w:val="single" w:sz="4" w:space="0" w:color="000000"/>
            </w:tcBorders>
          </w:tcPr>
          <w:p w:rsidR="0096528D" w:rsidRDefault="0096528D">
            <w:pPr>
              <w:spacing w:after="0" w:line="240" w:lineRule="auto"/>
              <w:jc w:val="center"/>
              <w:rPr>
                <w:rFonts w:ascii="Times New Roman" w:eastAsia="Calibri" w:hAnsi="Times New Roman" w:cs="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44 lei munte</w:t>
            </w:r>
          </w:p>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150 lei câmpie</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44 lei munte</w:t>
            </w:r>
          </w:p>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150 lei câmpie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taxe de pază sau administrare</w:t>
            </w:r>
          </w:p>
        </w:tc>
      </w:tr>
      <w:tr w:rsidR="0096528D" w:rsidTr="0096528D">
        <w:tc>
          <w:tcPr>
            <w:tcW w:w="1418" w:type="dxa"/>
            <w:vMerge/>
            <w:tcBorders>
              <w:top w:val="nil"/>
              <w:left w:val="nil"/>
              <w:bottom w:val="single" w:sz="4" w:space="0" w:color="000000"/>
              <w:right w:val="single" w:sz="4" w:space="0" w:color="000000"/>
            </w:tcBorders>
            <w:vAlign w:val="center"/>
            <w:hideMark/>
          </w:tcPr>
          <w:p w:rsidR="0096528D" w:rsidRDefault="0096528D">
            <w:pPr>
              <w:spacing w:after="0" w:line="240" w:lineRule="auto"/>
              <w:rPr>
                <w:rFonts w:ascii="Times New Roman" w:eastAsia="Calibri" w:hAnsi="Times New Roman" w:cs="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10,2 lei</w:t>
            </w:r>
          </w:p>
        </w:tc>
        <w:tc>
          <w:tcPr>
            <w:tcW w:w="2552"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15,3 lei</w:t>
            </w:r>
          </w:p>
        </w:tc>
        <w:tc>
          <w:tcPr>
            <w:tcW w:w="31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alte cheltuieli specifice (3%)</w:t>
            </w:r>
          </w:p>
        </w:tc>
      </w:tr>
      <w:tr w:rsidR="0096528D" w:rsidTr="0096528D">
        <w:tc>
          <w:tcPr>
            <w:tcW w:w="14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b/>
                <w:bCs/>
                <w:sz w:val="24"/>
                <w:szCs w:val="24"/>
              </w:rPr>
            </w:pPr>
            <w:r>
              <w:rPr>
                <w:rFonts w:ascii="Times New Roman" w:hAnsi="Times New Roman" w:cs="Times New Roman"/>
                <w:b/>
                <w:bCs/>
                <w:sz w:val="24"/>
                <w:szCs w:val="24"/>
              </w:rPr>
              <w:t>TOTAL cheltuieli</w:t>
            </w: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între 283,8 lei şi 389,8 lei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între 372,2 lei şi 478,2 lei</w:t>
            </w:r>
          </w:p>
        </w:tc>
        <w:tc>
          <w:tcPr>
            <w:tcW w:w="3118" w:type="dxa"/>
            <w:vMerge w:val="restart"/>
            <w:tcBorders>
              <w:top w:val="single" w:sz="4" w:space="0" w:color="000000"/>
              <w:left w:val="single" w:sz="4" w:space="0" w:color="000000"/>
              <w:bottom w:val="nil"/>
              <w:right w:val="nil"/>
            </w:tcBorders>
          </w:tcPr>
          <w:p w:rsidR="0096528D" w:rsidRDefault="0096528D">
            <w:pPr>
              <w:spacing w:after="0" w:line="240" w:lineRule="auto"/>
              <w:jc w:val="center"/>
              <w:rPr>
                <w:rFonts w:ascii="Times New Roman" w:eastAsia="Calibri" w:hAnsi="Times New Roman" w:cs="Times New Roman"/>
                <w:sz w:val="24"/>
                <w:szCs w:val="24"/>
              </w:rPr>
            </w:pPr>
          </w:p>
        </w:tc>
      </w:tr>
      <w:tr w:rsidR="0096528D" w:rsidTr="0096528D">
        <w:tc>
          <w:tcPr>
            <w:tcW w:w="1418"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b/>
                <w:bCs/>
                <w:sz w:val="24"/>
                <w:szCs w:val="24"/>
              </w:rPr>
            </w:pPr>
            <w:r>
              <w:rPr>
                <w:rFonts w:ascii="Times New Roman" w:hAnsi="Times New Roman" w:cs="Times New Roman"/>
                <w:b/>
                <w:bCs/>
                <w:sz w:val="24"/>
                <w:szCs w:val="24"/>
              </w:rPr>
              <w:t>Procent din venituri</w:t>
            </w:r>
          </w:p>
        </w:tc>
        <w:tc>
          <w:tcPr>
            <w:tcW w:w="2551" w:type="dxa"/>
            <w:tcBorders>
              <w:top w:val="single" w:sz="4" w:space="0" w:color="000000"/>
              <w:left w:val="single" w:sz="4" w:space="0" w:color="000000"/>
              <w:bottom w:val="single" w:sz="4" w:space="0" w:color="000000"/>
              <w:right w:val="single" w:sz="4" w:space="0" w:color="000000"/>
            </w:tcBorders>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între 83,47% şi 114,64%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528D" w:rsidRDefault="0096528D">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între 72,98% şi 93,76%</w:t>
            </w:r>
          </w:p>
        </w:tc>
        <w:tc>
          <w:tcPr>
            <w:tcW w:w="3118" w:type="dxa"/>
            <w:vMerge/>
            <w:tcBorders>
              <w:top w:val="single" w:sz="4" w:space="0" w:color="000000"/>
              <w:left w:val="single" w:sz="4" w:space="0" w:color="000000"/>
              <w:bottom w:val="nil"/>
              <w:right w:val="nil"/>
            </w:tcBorders>
            <w:vAlign w:val="center"/>
            <w:hideMark/>
          </w:tcPr>
          <w:p w:rsidR="0096528D" w:rsidRDefault="0096528D">
            <w:pPr>
              <w:spacing w:after="0" w:line="240" w:lineRule="auto"/>
              <w:rPr>
                <w:rFonts w:ascii="Times New Roman" w:eastAsia="Calibri" w:hAnsi="Times New Roman" w:cs="Times New Roman"/>
                <w:sz w:val="24"/>
                <w:szCs w:val="24"/>
              </w:rPr>
            </w:pPr>
          </w:p>
        </w:tc>
      </w:tr>
    </w:tbl>
    <w:p w:rsidR="0096528D" w:rsidRDefault="0096528D" w:rsidP="0096528D">
      <w:pPr>
        <w:jc w:val="both"/>
        <w:rPr>
          <w:rFonts w:ascii="Times New Roman" w:eastAsia="Calibri" w:hAnsi="Times New Roman" w:cs="Times New Roman"/>
          <w:sz w:val="24"/>
          <w:szCs w:val="24"/>
        </w:rPr>
      </w:pP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La aceste cheltuieli se vor adăuga, dacă vânzarea lemnului pe picior va fi interzisă, conform proiectului de modificare a codului silvic, şi alte cheltuieli legate de aducerea lemnului la drum auto (cel puţin TVA calculat la costurile de prestări-servicii exploatare, pe care proprietarii îl vor achita firmelor de exploatare), în condiţiile în care preţul lemnului nu va creşte cu acelaşi procent.</w:t>
      </w:r>
    </w:p>
    <w:p w:rsidR="0096528D" w:rsidRDefault="0096528D" w:rsidP="0096528D">
      <w:pPr>
        <w:jc w:val="both"/>
        <w:rPr>
          <w:rFonts w:ascii="Times New Roman" w:hAnsi="Times New Roman" w:cs="Times New Roman"/>
          <w:sz w:val="24"/>
          <w:szCs w:val="24"/>
        </w:rPr>
      </w:pPr>
      <w:r>
        <w:rPr>
          <w:rFonts w:ascii="Times New Roman" w:hAnsi="Times New Roman" w:cs="Times New Roman"/>
          <w:sz w:val="24"/>
          <w:szCs w:val="24"/>
        </w:rPr>
        <w:t>Deosebit de important este faptul că, în perioada 2009-2013, supraimpozitarea detaliată mai sus a fost concomitentă cu lipsa totală a finanţării din partea statului pentru păduri, această politică fiscală devenind astfel cauza primordială a unui procent semnificativ din defrișările ilegale.</w:t>
      </w:r>
    </w:p>
    <w:p w:rsidR="0096528D" w:rsidRDefault="0096528D" w:rsidP="0096528D">
      <w:pPr>
        <w:rPr>
          <w:rFonts w:ascii="Calibri" w:hAnsi="Calibri" w:cs="Calibri"/>
        </w:rPr>
      </w:pPr>
    </w:p>
    <w:p w:rsidR="0073608B" w:rsidRDefault="0073608B"/>
    <w:sectPr w:rsidR="007360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08B" w:rsidRDefault="0073608B" w:rsidP="0096528D">
      <w:pPr>
        <w:spacing w:after="0" w:line="240" w:lineRule="auto"/>
      </w:pPr>
      <w:r>
        <w:separator/>
      </w:r>
    </w:p>
  </w:endnote>
  <w:endnote w:type="continuationSeparator" w:id="1">
    <w:p w:rsidR="0073608B" w:rsidRDefault="0073608B" w:rsidP="00965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08B" w:rsidRDefault="0073608B" w:rsidP="0096528D">
      <w:pPr>
        <w:spacing w:after="0" w:line="240" w:lineRule="auto"/>
      </w:pPr>
      <w:r>
        <w:separator/>
      </w:r>
    </w:p>
  </w:footnote>
  <w:footnote w:type="continuationSeparator" w:id="1">
    <w:p w:rsidR="0073608B" w:rsidRDefault="0073608B" w:rsidP="0096528D">
      <w:pPr>
        <w:spacing w:after="0" w:line="240" w:lineRule="auto"/>
      </w:pPr>
      <w:r>
        <w:continuationSeparator/>
      </w:r>
    </w:p>
  </w:footnote>
  <w:footnote w:id="2">
    <w:p w:rsidR="0096528D" w:rsidRDefault="0096528D" w:rsidP="0096528D">
      <w:pPr>
        <w:pStyle w:val="FootnoteText"/>
        <w:jc w:val="both"/>
        <w:rPr>
          <w:lang w:val="ro-RO"/>
        </w:rPr>
      </w:pPr>
      <w:r>
        <w:rPr>
          <w:rStyle w:val="FootnoteReference"/>
        </w:rPr>
        <w:footnoteRef/>
      </w:r>
      <w:r>
        <w:t xml:space="preserve"> Fără amenajament nu se pot executa lucrări sau presta servicii, iar în prezent sunt aproximativ 500.000 ha fără amenajament silvic, a căror amenajare ar implica costuri de minim 10 milioane euro (20 euro/ha x 500.000 ha)   </w:t>
      </w:r>
    </w:p>
  </w:footnote>
  <w:footnote w:id="3">
    <w:p w:rsidR="0096528D" w:rsidRDefault="0096528D" w:rsidP="0096528D">
      <w:pPr>
        <w:pStyle w:val="FootnoteText"/>
        <w:jc w:val="both"/>
        <w:rPr>
          <w:lang w:val="ro-RO"/>
        </w:rPr>
      </w:pPr>
      <w:r>
        <w:rPr>
          <w:rStyle w:val="FootnoteReference"/>
        </w:rPr>
        <w:footnoteRef/>
      </w:r>
      <w:r>
        <w:t xml:space="preserve"> Legea 46/2006 - Codului Silvic şi Normele Silvice în vigoare</w:t>
      </w:r>
    </w:p>
  </w:footnote>
  <w:footnote w:id="4">
    <w:p w:rsidR="0096528D" w:rsidRDefault="0096528D" w:rsidP="0096528D">
      <w:pPr>
        <w:pStyle w:val="FootnoteText"/>
        <w:jc w:val="both"/>
        <w:rPr>
          <w:lang w:val="ro-RO"/>
        </w:rPr>
      </w:pPr>
      <w:r>
        <w:rPr>
          <w:rStyle w:val="FootnoteReference"/>
        </w:rPr>
        <w:footnoteRef/>
      </w:r>
      <w:r>
        <w:t xml:space="preserve"> Ordinul Ministrului Mediului şi Pădurilor nr. 3823 din 23 august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56148"/>
    <w:multiLevelType w:val="hybridMultilevel"/>
    <w:tmpl w:val="9DD699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65C58E9"/>
    <w:multiLevelType w:val="hybridMultilevel"/>
    <w:tmpl w:val="07DA80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E5E079E"/>
    <w:multiLevelType w:val="hybridMultilevel"/>
    <w:tmpl w:val="BD26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96528D"/>
    <w:rsid w:val="0073608B"/>
    <w:rsid w:val="00965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528D"/>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6528D"/>
    <w:rPr>
      <w:rFonts w:ascii="Calibri" w:eastAsia="Calibri" w:hAnsi="Calibri" w:cs="Calibri"/>
      <w:sz w:val="20"/>
      <w:szCs w:val="20"/>
    </w:rPr>
  </w:style>
  <w:style w:type="paragraph" w:styleId="ListParagraph">
    <w:name w:val="List Paragraph"/>
    <w:basedOn w:val="Normal"/>
    <w:uiPriority w:val="34"/>
    <w:qFormat/>
    <w:rsid w:val="0096528D"/>
    <w:pPr>
      <w:ind w:left="720"/>
      <w:contextualSpacing/>
    </w:pPr>
    <w:rPr>
      <w:rFonts w:ascii="Calibri" w:eastAsia="Calibri" w:hAnsi="Calibri" w:cs="Calibri"/>
    </w:rPr>
  </w:style>
  <w:style w:type="character" w:styleId="FootnoteReference">
    <w:name w:val="footnote reference"/>
    <w:basedOn w:val="DefaultParagraphFont"/>
    <w:uiPriority w:val="99"/>
    <w:semiHidden/>
    <w:unhideWhenUsed/>
    <w:rsid w:val="0096528D"/>
    <w:rPr>
      <w:vertAlign w:val="superscript"/>
    </w:rPr>
  </w:style>
  <w:style w:type="table" w:styleId="TableGrid">
    <w:name w:val="Table Grid"/>
    <w:basedOn w:val="TableNormal"/>
    <w:uiPriority w:val="59"/>
    <w:rsid w:val="0096528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1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2013-11-16T09:33:00Z</dcterms:created>
  <dcterms:modified xsi:type="dcterms:W3CDTF">2013-11-16T09:33:00Z</dcterms:modified>
</cp:coreProperties>
</file>